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53123" w14:textId="77777777" w:rsidR="00932874" w:rsidRDefault="0095190E">
      <w:pPr>
        <w:tabs>
          <w:tab w:val="left" w:pos="9740"/>
        </w:tabs>
        <w:spacing w:before="18" w:after="0" w:line="240" w:lineRule="auto"/>
        <w:ind w:left="114" w:right="-20"/>
        <w:rPr>
          <w:rFonts w:ascii="Arial" w:eastAsia="Arial" w:hAnsi="Arial" w:cs="Arial"/>
          <w:sz w:val="56"/>
          <w:szCs w:val="56"/>
        </w:rPr>
      </w:pPr>
      <w:bookmarkStart w:id="0" w:name="_GoBack"/>
      <w:bookmarkEnd w:id="0"/>
      <w:r>
        <w:rPr>
          <w:rFonts w:ascii="Arial" w:eastAsia="Arial" w:hAnsi="Arial" w:cs="Arial"/>
          <w:b/>
          <w:bCs/>
          <w:color w:val="A7CA56"/>
          <w:spacing w:val="-9"/>
          <w:sz w:val="56"/>
          <w:szCs w:val="56"/>
          <w:u w:val="single" w:color="98C43D"/>
        </w:rPr>
        <w:t>C</w:t>
      </w:r>
      <w:r>
        <w:rPr>
          <w:rFonts w:ascii="Arial" w:eastAsia="Arial" w:hAnsi="Arial" w:cs="Arial"/>
          <w:b/>
          <w:bCs/>
          <w:color w:val="A7CA56"/>
          <w:spacing w:val="-1"/>
          <w:sz w:val="56"/>
          <w:szCs w:val="56"/>
          <w:u w:val="single" w:color="98C43D"/>
        </w:rPr>
        <w:t>HA</w:t>
      </w:r>
      <w:r>
        <w:rPr>
          <w:rFonts w:ascii="Arial" w:eastAsia="Arial" w:hAnsi="Arial" w:cs="Arial"/>
          <w:b/>
          <w:bCs/>
          <w:color w:val="A7CA56"/>
          <w:sz w:val="56"/>
          <w:szCs w:val="56"/>
          <w:u w:val="single" w:color="98C43D"/>
        </w:rPr>
        <w:t>R</w:t>
      </w:r>
      <w:r>
        <w:rPr>
          <w:rFonts w:ascii="Arial" w:eastAsia="Arial" w:hAnsi="Arial" w:cs="Arial"/>
          <w:b/>
          <w:bCs/>
          <w:color w:val="A7CA56"/>
          <w:spacing w:val="-4"/>
          <w:w w:val="99"/>
          <w:sz w:val="56"/>
          <w:szCs w:val="56"/>
          <w:u w:val="single" w:color="98C43D"/>
        </w:rPr>
        <w:t>IT</w:t>
      </w:r>
      <w:r>
        <w:rPr>
          <w:rFonts w:ascii="Arial" w:eastAsia="Arial" w:hAnsi="Arial" w:cs="Arial"/>
          <w:b/>
          <w:bCs/>
          <w:color w:val="A7CA56"/>
          <w:spacing w:val="1"/>
          <w:w w:val="99"/>
          <w:sz w:val="56"/>
          <w:szCs w:val="56"/>
          <w:u w:val="single" w:color="98C43D"/>
        </w:rPr>
        <w:t>I</w:t>
      </w:r>
      <w:r>
        <w:rPr>
          <w:rFonts w:ascii="Arial" w:eastAsia="Arial" w:hAnsi="Arial" w:cs="Arial"/>
          <w:b/>
          <w:bCs/>
          <w:color w:val="A7CA56"/>
          <w:spacing w:val="-10"/>
          <w:w w:val="99"/>
          <w:sz w:val="56"/>
          <w:szCs w:val="56"/>
          <w:u w:val="single" w:color="98C43D"/>
        </w:rPr>
        <w:t>E</w:t>
      </w:r>
      <w:r>
        <w:rPr>
          <w:rFonts w:ascii="Arial" w:eastAsia="Arial" w:hAnsi="Arial" w:cs="Arial"/>
          <w:b/>
          <w:bCs/>
          <w:color w:val="A7CA56"/>
          <w:w w:val="99"/>
          <w:sz w:val="56"/>
          <w:szCs w:val="56"/>
          <w:u w:val="single" w:color="98C43D"/>
        </w:rPr>
        <w:t xml:space="preserve">S </w:t>
      </w:r>
      <w:r>
        <w:rPr>
          <w:rFonts w:ascii="Arial" w:eastAsia="Arial" w:hAnsi="Arial" w:cs="Arial"/>
          <w:b/>
          <w:bCs/>
          <w:color w:val="A7CA56"/>
          <w:spacing w:val="-8"/>
          <w:w w:val="99"/>
          <w:sz w:val="56"/>
          <w:szCs w:val="56"/>
          <w:u w:val="single" w:color="98C43D"/>
        </w:rPr>
        <w:t>S</w:t>
      </w:r>
      <w:r>
        <w:rPr>
          <w:rFonts w:ascii="Arial" w:eastAsia="Arial" w:hAnsi="Arial" w:cs="Arial"/>
          <w:b/>
          <w:bCs/>
          <w:color w:val="A7CA56"/>
          <w:spacing w:val="-2"/>
          <w:w w:val="99"/>
          <w:sz w:val="56"/>
          <w:szCs w:val="56"/>
          <w:u w:val="single" w:color="98C43D"/>
        </w:rPr>
        <w:t>O</w:t>
      </w:r>
      <w:r>
        <w:rPr>
          <w:rFonts w:ascii="Arial" w:eastAsia="Arial" w:hAnsi="Arial" w:cs="Arial"/>
          <w:b/>
          <w:bCs/>
          <w:color w:val="A7CA56"/>
          <w:spacing w:val="-1"/>
          <w:sz w:val="56"/>
          <w:szCs w:val="56"/>
          <w:u w:val="single" w:color="98C43D"/>
        </w:rPr>
        <w:t>RP</w:t>
      </w:r>
      <w:r>
        <w:rPr>
          <w:rFonts w:ascii="Arial" w:eastAsia="Arial" w:hAnsi="Arial" w:cs="Arial"/>
          <w:b/>
          <w:bCs/>
          <w:color w:val="A7CA56"/>
          <w:spacing w:val="1"/>
          <w:w w:val="99"/>
          <w:sz w:val="56"/>
          <w:szCs w:val="56"/>
          <w:u w:val="single" w:color="98C43D"/>
        </w:rPr>
        <w:t xml:space="preserve"> </w:t>
      </w:r>
      <w:r>
        <w:rPr>
          <w:rFonts w:ascii="Arial" w:eastAsia="Arial" w:hAnsi="Arial" w:cs="Arial"/>
          <w:b/>
          <w:bCs/>
          <w:color w:val="A7CA56"/>
          <w:spacing w:val="-10"/>
          <w:sz w:val="56"/>
          <w:szCs w:val="56"/>
          <w:u w:val="single" w:color="98C43D"/>
        </w:rPr>
        <w:t>(</w:t>
      </w:r>
      <w:r>
        <w:rPr>
          <w:rFonts w:ascii="Arial" w:eastAsia="Arial" w:hAnsi="Arial" w:cs="Arial"/>
          <w:b/>
          <w:bCs/>
          <w:color w:val="A7CA56"/>
          <w:spacing w:val="-13"/>
          <w:w w:val="99"/>
          <w:sz w:val="56"/>
          <w:szCs w:val="56"/>
          <w:u w:val="single" w:color="98C43D"/>
        </w:rPr>
        <w:t>F</w:t>
      </w:r>
      <w:r>
        <w:rPr>
          <w:rFonts w:ascii="Arial" w:eastAsia="Arial" w:hAnsi="Arial" w:cs="Arial"/>
          <w:b/>
          <w:bCs/>
          <w:color w:val="A7CA56"/>
          <w:spacing w:val="-11"/>
          <w:sz w:val="56"/>
          <w:szCs w:val="56"/>
          <w:u w:val="single" w:color="98C43D"/>
        </w:rPr>
        <w:t>R</w:t>
      </w:r>
      <w:r>
        <w:rPr>
          <w:rFonts w:ascii="Arial" w:eastAsia="Arial" w:hAnsi="Arial" w:cs="Arial"/>
          <w:b/>
          <w:bCs/>
          <w:color w:val="A7CA56"/>
          <w:w w:val="99"/>
          <w:sz w:val="56"/>
          <w:szCs w:val="56"/>
          <w:u w:val="single" w:color="98C43D"/>
        </w:rPr>
        <w:t xml:space="preserve">S </w:t>
      </w:r>
      <w:r>
        <w:rPr>
          <w:rFonts w:ascii="Arial" w:eastAsia="Arial" w:hAnsi="Arial" w:cs="Arial"/>
          <w:b/>
          <w:bCs/>
          <w:color w:val="A7CA56"/>
          <w:spacing w:val="-25"/>
          <w:sz w:val="56"/>
          <w:szCs w:val="56"/>
          <w:u w:val="single" w:color="98C43D"/>
        </w:rPr>
        <w:t>1</w:t>
      </w:r>
      <w:r>
        <w:rPr>
          <w:rFonts w:ascii="Arial" w:eastAsia="Arial" w:hAnsi="Arial" w:cs="Arial"/>
          <w:b/>
          <w:bCs/>
          <w:color w:val="A7CA56"/>
          <w:spacing w:val="-8"/>
          <w:sz w:val="56"/>
          <w:szCs w:val="56"/>
          <w:u w:val="single" w:color="98C43D"/>
        </w:rPr>
        <w:t>0</w:t>
      </w:r>
      <w:r>
        <w:rPr>
          <w:rFonts w:ascii="Arial" w:eastAsia="Arial" w:hAnsi="Arial" w:cs="Arial"/>
          <w:b/>
          <w:bCs/>
          <w:color w:val="A7CA56"/>
          <w:spacing w:val="-16"/>
          <w:sz w:val="56"/>
          <w:szCs w:val="56"/>
          <w:u w:val="single" w:color="98C43D"/>
        </w:rPr>
        <w:t>2</w:t>
      </w:r>
      <w:r>
        <w:rPr>
          <w:rFonts w:ascii="Arial" w:eastAsia="Arial" w:hAnsi="Arial" w:cs="Arial"/>
          <w:b/>
          <w:bCs/>
          <w:color w:val="A7CA56"/>
          <w:sz w:val="56"/>
          <w:szCs w:val="56"/>
          <w:u w:val="single" w:color="98C43D"/>
        </w:rPr>
        <w:t>)</w:t>
      </w:r>
      <w:r>
        <w:rPr>
          <w:rFonts w:ascii="Arial" w:eastAsia="Arial" w:hAnsi="Arial" w:cs="Arial"/>
          <w:b/>
          <w:bCs/>
          <w:color w:val="A7CA56"/>
          <w:w w:val="99"/>
          <w:sz w:val="56"/>
          <w:szCs w:val="56"/>
          <w:u w:val="single" w:color="98C43D"/>
        </w:rPr>
        <w:t xml:space="preserve"> </w:t>
      </w:r>
      <w:r>
        <w:rPr>
          <w:rFonts w:ascii="Arial" w:eastAsia="Arial" w:hAnsi="Arial" w:cs="Arial"/>
          <w:b/>
          <w:bCs/>
          <w:color w:val="A7CA56"/>
          <w:sz w:val="56"/>
          <w:szCs w:val="56"/>
          <w:u w:val="single" w:color="98C43D"/>
        </w:rPr>
        <w:tab/>
      </w:r>
    </w:p>
    <w:p w14:paraId="262AD286" w14:textId="77777777" w:rsidR="00932874" w:rsidRDefault="00932874">
      <w:pPr>
        <w:spacing w:before="5" w:after="0" w:line="180" w:lineRule="exact"/>
        <w:rPr>
          <w:sz w:val="18"/>
          <w:szCs w:val="18"/>
        </w:rPr>
      </w:pPr>
    </w:p>
    <w:p w14:paraId="53DB2B1B" w14:textId="77777777" w:rsidR="00932874" w:rsidRDefault="00932874">
      <w:pPr>
        <w:spacing w:after="0" w:line="200" w:lineRule="exact"/>
        <w:rPr>
          <w:sz w:val="20"/>
          <w:szCs w:val="20"/>
        </w:rPr>
      </w:pPr>
    </w:p>
    <w:p w14:paraId="1A118F24" w14:textId="77777777" w:rsidR="00932874" w:rsidRDefault="00932874">
      <w:pPr>
        <w:spacing w:after="0" w:line="200" w:lineRule="exact"/>
        <w:rPr>
          <w:sz w:val="20"/>
          <w:szCs w:val="20"/>
        </w:rPr>
      </w:pPr>
    </w:p>
    <w:p w14:paraId="2EAD13DF" w14:textId="77777777" w:rsidR="00932874" w:rsidRDefault="00932874">
      <w:pPr>
        <w:spacing w:after="0" w:line="200" w:lineRule="exact"/>
        <w:rPr>
          <w:sz w:val="20"/>
          <w:szCs w:val="20"/>
        </w:rPr>
      </w:pPr>
    </w:p>
    <w:p w14:paraId="40E029E7" w14:textId="77777777" w:rsidR="00932874" w:rsidRDefault="0095190E">
      <w:pPr>
        <w:spacing w:after="0" w:line="250" w:lineRule="auto"/>
        <w:ind w:left="114" w:right="64"/>
        <w:rPr>
          <w:rFonts w:ascii="Arial" w:eastAsia="Arial" w:hAnsi="Arial" w:cs="Arial"/>
          <w:sz w:val="42"/>
          <w:szCs w:val="42"/>
        </w:rPr>
      </w:pPr>
      <w:r>
        <w:rPr>
          <w:rFonts w:ascii="Arial" w:eastAsia="Arial" w:hAnsi="Arial" w:cs="Arial"/>
          <w:b/>
          <w:bCs/>
          <w:color w:val="696A6C"/>
          <w:spacing w:val="-15"/>
          <w:sz w:val="42"/>
          <w:szCs w:val="42"/>
        </w:rPr>
        <w:t>A</w:t>
      </w:r>
      <w:r>
        <w:rPr>
          <w:rFonts w:ascii="Arial" w:eastAsia="Arial" w:hAnsi="Arial" w:cs="Arial"/>
          <w:b/>
          <w:bCs/>
          <w:color w:val="696A6C"/>
          <w:spacing w:val="-9"/>
          <w:sz w:val="42"/>
          <w:szCs w:val="42"/>
        </w:rPr>
        <w:t>cc</w:t>
      </w:r>
      <w:r>
        <w:rPr>
          <w:rFonts w:ascii="Arial" w:eastAsia="Arial" w:hAnsi="Arial" w:cs="Arial"/>
          <w:b/>
          <w:bCs/>
          <w:color w:val="696A6C"/>
          <w:spacing w:val="-10"/>
          <w:sz w:val="42"/>
          <w:szCs w:val="42"/>
        </w:rPr>
        <w:t>o</w:t>
      </w:r>
      <w:r>
        <w:rPr>
          <w:rFonts w:ascii="Arial" w:eastAsia="Arial" w:hAnsi="Arial" w:cs="Arial"/>
          <w:b/>
          <w:bCs/>
          <w:color w:val="696A6C"/>
          <w:spacing w:val="-11"/>
          <w:sz w:val="42"/>
          <w:szCs w:val="42"/>
        </w:rPr>
        <w:t>u</w:t>
      </w:r>
      <w:r>
        <w:rPr>
          <w:rFonts w:ascii="Arial" w:eastAsia="Arial" w:hAnsi="Arial" w:cs="Arial"/>
          <w:b/>
          <w:bCs/>
          <w:color w:val="696A6C"/>
          <w:spacing w:val="-10"/>
          <w:sz w:val="42"/>
          <w:szCs w:val="42"/>
        </w:rPr>
        <w:t>n</w:t>
      </w:r>
      <w:r>
        <w:rPr>
          <w:rFonts w:ascii="Arial" w:eastAsia="Arial" w:hAnsi="Arial" w:cs="Arial"/>
          <w:b/>
          <w:bCs/>
          <w:color w:val="696A6C"/>
          <w:spacing w:val="-6"/>
          <w:sz w:val="42"/>
          <w:szCs w:val="42"/>
        </w:rPr>
        <w:t>t</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31"/>
          <w:sz w:val="42"/>
          <w:szCs w:val="42"/>
        </w:rPr>
        <w:t xml:space="preserve"> </w:t>
      </w:r>
      <w:r>
        <w:rPr>
          <w:rFonts w:ascii="Arial" w:eastAsia="Arial" w:hAnsi="Arial" w:cs="Arial"/>
          <w:b/>
          <w:bCs/>
          <w:color w:val="696A6C"/>
          <w:spacing w:val="-10"/>
          <w:sz w:val="42"/>
          <w:szCs w:val="42"/>
        </w:rPr>
        <w:t>an</w:t>
      </w:r>
      <w:r>
        <w:rPr>
          <w:rFonts w:ascii="Arial" w:eastAsia="Arial" w:hAnsi="Arial" w:cs="Arial"/>
          <w:b/>
          <w:bCs/>
          <w:color w:val="696A6C"/>
          <w:sz w:val="42"/>
          <w:szCs w:val="42"/>
        </w:rPr>
        <w:t>d</w:t>
      </w:r>
      <w:r>
        <w:rPr>
          <w:rFonts w:ascii="Arial" w:eastAsia="Arial" w:hAnsi="Arial" w:cs="Arial"/>
          <w:b/>
          <w:bCs/>
          <w:color w:val="696A6C"/>
          <w:spacing w:val="-24"/>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10"/>
          <w:sz w:val="42"/>
          <w:szCs w:val="42"/>
        </w:rPr>
        <w:t>e</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o</w:t>
      </w:r>
      <w:r>
        <w:rPr>
          <w:rFonts w:ascii="Arial" w:eastAsia="Arial" w:hAnsi="Arial" w:cs="Arial"/>
          <w:b/>
          <w:bCs/>
          <w:color w:val="696A6C"/>
          <w:spacing w:val="6"/>
          <w:sz w:val="42"/>
          <w:szCs w:val="42"/>
        </w:rPr>
        <w:t>r</w:t>
      </w:r>
      <w:r>
        <w:rPr>
          <w:rFonts w:ascii="Arial" w:eastAsia="Arial" w:hAnsi="Arial" w:cs="Arial"/>
          <w:b/>
          <w:bCs/>
          <w:color w:val="696A6C"/>
          <w:spacing w:val="-6"/>
          <w:sz w:val="42"/>
          <w:szCs w:val="42"/>
        </w:rPr>
        <w:t>t</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31"/>
          <w:sz w:val="42"/>
          <w:szCs w:val="42"/>
        </w:rPr>
        <w:t xml:space="preserve"> </w:t>
      </w:r>
      <w:r>
        <w:rPr>
          <w:rFonts w:ascii="Arial" w:eastAsia="Arial" w:hAnsi="Arial" w:cs="Arial"/>
          <w:b/>
          <w:bCs/>
          <w:color w:val="696A6C"/>
          <w:spacing w:val="-16"/>
          <w:sz w:val="42"/>
          <w:szCs w:val="42"/>
        </w:rPr>
        <w:t>b</w:t>
      </w:r>
      <w:r>
        <w:rPr>
          <w:rFonts w:ascii="Arial" w:eastAsia="Arial" w:hAnsi="Arial" w:cs="Arial"/>
          <w:b/>
          <w:bCs/>
          <w:color w:val="696A6C"/>
          <w:sz w:val="42"/>
          <w:szCs w:val="42"/>
        </w:rPr>
        <w:t xml:space="preserve">y </w:t>
      </w:r>
      <w:r>
        <w:rPr>
          <w:rFonts w:ascii="Arial" w:eastAsia="Arial" w:hAnsi="Arial" w:cs="Arial"/>
          <w:b/>
          <w:bCs/>
          <w:color w:val="696A6C"/>
          <w:spacing w:val="-16"/>
          <w:sz w:val="42"/>
          <w:szCs w:val="42"/>
        </w:rPr>
        <w:t>C</w:t>
      </w:r>
      <w:r>
        <w:rPr>
          <w:rFonts w:ascii="Arial" w:eastAsia="Arial" w:hAnsi="Arial" w:cs="Arial"/>
          <w:b/>
          <w:bCs/>
          <w:color w:val="696A6C"/>
          <w:spacing w:val="-10"/>
          <w:sz w:val="42"/>
          <w:szCs w:val="42"/>
        </w:rPr>
        <w:t>h</w:t>
      </w:r>
      <w:r>
        <w:rPr>
          <w:rFonts w:ascii="Arial" w:eastAsia="Arial" w:hAnsi="Arial" w:cs="Arial"/>
          <w:b/>
          <w:bCs/>
          <w:color w:val="696A6C"/>
          <w:spacing w:val="-8"/>
          <w:sz w:val="42"/>
          <w:szCs w:val="42"/>
        </w:rPr>
        <w:t>a</w:t>
      </w:r>
      <w:r>
        <w:rPr>
          <w:rFonts w:ascii="Arial" w:eastAsia="Arial" w:hAnsi="Arial" w:cs="Arial"/>
          <w:b/>
          <w:bCs/>
          <w:color w:val="696A6C"/>
          <w:spacing w:val="-6"/>
          <w:sz w:val="42"/>
          <w:szCs w:val="42"/>
        </w:rPr>
        <w:t>r</w:t>
      </w:r>
      <w:r>
        <w:rPr>
          <w:rFonts w:ascii="Arial" w:eastAsia="Arial" w:hAnsi="Arial" w:cs="Arial"/>
          <w:b/>
          <w:bCs/>
          <w:color w:val="696A6C"/>
          <w:spacing w:val="-7"/>
          <w:sz w:val="42"/>
          <w:szCs w:val="42"/>
        </w:rPr>
        <w:t>i</w:t>
      </w:r>
      <w:r>
        <w:rPr>
          <w:rFonts w:ascii="Arial" w:eastAsia="Arial" w:hAnsi="Arial" w:cs="Arial"/>
          <w:b/>
          <w:bCs/>
          <w:color w:val="696A6C"/>
          <w:spacing w:val="-6"/>
          <w:sz w:val="42"/>
          <w:szCs w:val="42"/>
        </w:rPr>
        <w:t>t</w:t>
      </w:r>
      <w:r>
        <w:rPr>
          <w:rFonts w:ascii="Arial" w:eastAsia="Arial" w:hAnsi="Arial" w:cs="Arial"/>
          <w:b/>
          <w:bCs/>
          <w:color w:val="696A6C"/>
          <w:spacing w:val="-7"/>
          <w:sz w:val="42"/>
          <w:szCs w:val="42"/>
        </w:rPr>
        <w:t>i</w:t>
      </w:r>
      <w:r>
        <w:rPr>
          <w:rFonts w:ascii="Arial" w:eastAsia="Arial" w:hAnsi="Arial" w:cs="Arial"/>
          <w:b/>
          <w:bCs/>
          <w:color w:val="696A6C"/>
          <w:spacing w:val="-8"/>
          <w:sz w:val="42"/>
          <w:szCs w:val="42"/>
        </w:rPr>
        <w:t>e</w:t>
      </w:r>
      <w:r>
        <w:rPr>
          <w:rFonts w:ascii="Arial" w:eastAsia="Arial" w:hAnsi="Arial" w:cs="Arial"/>
          <w:b/>
          <w:bCs/>
          <w:color w:val="696A6C"/>
          <w:spacing w:val="-23"/>
          <w:sz w:val="42"/>
          <w:szCs w:val="42"/>
        </w:rPr>
        <w:t>s</w:t>
      </w:r>
      <w:r>
        <w:rPr>
          <w:rFonts w:ascii="Arial" w:eastAsia="Arial" w:hAnsi="Arial" w:cs="Arial"/>
          <w:b/>
          <w:bCs/>
          <w:color w:val="696A6C"/>
          <w:sz w:val="42"/>
          <w:szCs w:val="42"/>
        </w:rPr>
        <w:t>:</w:t>
      </w:r>
      <w:r>
        <w:rPr>
          <w:rFonts w:ascii="Arial" w:eastAsia="Arial" w:hAnsi="Arial" w:cs="Arial"/>
          <w:b/>
          <w:bCs/>
          <w:color w:val="696A6C"/>
          <w:spacing w:val="-22"/>
          <w:sz w:val="42"/>
          <w:szCs w:val="42"/>
        </w:rPr>
        <w:t xml:space="preserve"> </w:t>
      </w:r>
      <w:r>
        <w:rPr>
          <w:rFonts w:ascii="Arial" w:eastAsia="Arial" w:hAnsi="Arial" w:cs="Arial"/>
          <w:b/>
          <w:bCs/>
          <w:color w:val="696A6C"/>
          <w:spacing w:val="-11"/>
          <w:sz w:val="42"/>
          <w:szCs w:val="42"/>
        </w:rPr>
        <w:t>S</w:t>
      </w:r>
      <w:r>
        <w:rPr>
          <w:rFonts w:ascii="Arial" w:eastAsia="Arial" w:hAnsi="Arial" w:cs="Arial"/>
          <w:b/>
          <w:bCs/>
          <w:color w:val="696A6C"/>
          <w:spacing w:val="-6"/>
          <w:sz w:val="42"/>
          <w:szCs w:val="42"/>
        </w:rPr>
        <w:t>t</w:t>
      </w:r>
      <w:r>
        <w:rPr>
          <w:rFonts w:ascii="Arial" w:eastAsia="Arial" w:hAnsi="Arial" w:cs="Arial"/>
          <w:b/>
          <w:bCs/>
          <w:color w:val="696A6C"/>
          <w:spacing w:val="-10"/>
          <w:sz w:val="42"/>
          <w:szCs w:val="42"/>
        </w:rPr>
        <w:t>a</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em</w:t>
      </w:r>
      <w:r>
        <w:rPr>
          <w:rFonts w:ascii="Arial" w:eastAsia="Arial" w:hAnsi="Arial" w:cs="Arial"/>
          <w:b/>
          <w:bCs/>
          <w:color w:val="696A6C"/>
          <w:spacing w:val="-11"/>
          <w:sz w:val="42"/>
          <w:szCs w:val="42"/>
        </w:rPr>
        <w:t>e</w:t>
      </w:r>
      <w:r>
        <w:rPr>
          <w:rFonts w:ascii="Arial" w:eastAsia="Arial" w:hAnsi="Arial" w:cs="Arial"/>
          <w:b/>
          <w:bCs/>
          <w:color w:val="696A6C"/>
          <w:spacing w:val="-10"/>
          <w:sz w:val="42"/>
          <w:szCs w:val="42"/>
        </w:rPr>
        <w:t>n</w:t>
      </w:r>
      <w:r>
        <w:rPr>
          <w:rFonts w:ascii="Arial" w:eastAsia="Arial" w:hAnsi="Arial" w:cs="Arial"/>
          <w:b/>
          <w:bCs/>
          <w:color w:val="696A6C"/>
          <w:sz w:val="42"/>
          <w:szCs w:val="42"/>
        </w:rPr>
        <w:t>t</w:t>
      </w:r>
      <w:r>
        <w:rPr>
          <w:rFonts w:ascii="Arial" w:eastAsia="Arial" w:hAnsi="Arial" w:cs="Arial"/>
          <w:b/>
          <w:bCs/>
          <w:color w:val="696A6C"/>
          <w:spacing w:val="-22"/>
          <w:sz w:val="42"/>
          <w:szCs w:val="42"/>
        </w:rPr>
        <w:t xml:space="preserve"> </w:t>
      </w:r>
      <w:r>
        <w:rPr>
          <w:rFonts w:ascii="Arial" w:eastAsia="Arial" w:hAnsi="Arial" w:cs="Arial"/>
          <w:b/>
          <w:bCs/>
          <w:color w:val="696A6C"/>
          <w:spacing w:val="-11"/>
          <w:sz w:val="42"/>
          <w:szCs w:val="42"/>
        </w:rPr>
        <w:t>o</w:t>
      </w:r>
      <w:r>
        <w:rPr>
          <w:rFonts w:ascii="Arial" w:eastAsia="Arial" w:hAnsi="Arial" w:cs="Arial"/>
          <w:b/>
          <w:bCs/>
          <w:color w:val="696A6C"/>
          <w:sz w:val="42"/>
          <w:szCs w:val="42"/>
        </w:rPr>
        <w:t>f</w:t>
      </w:r>
      <w:r>
        <w:rPr>
          <w:rFonts w:ascii="Arial" w:eastAsia="Arial" w:hAnsi="Arial" w:cs="Arial"/>
          <w:b/>
          <w:bCs/>
          <w:color w:val="696A6C"/>
          <w:spacing w:val="-20"/>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9"/>
          <w:sz w:val="42"/>
          <w:szCs w:val="42"/>
        </w:rPr>
        <w:t>ec</w:t>
      </w:r>
      <w:r>
        <w:rPr>
          <w:rFonts w:ascii="Arial" w:eastAsia="Arial" w:hAnsi="Arial" w:cs="Arial"/>
          <w:b/>
          <w:bCs/>
          <w:color w:val="696A6C"/>
          <w:spacing w:val="-8"/>
          <w:sz w:val="42"/>
          <w:szCs w:val="42"/>
        </w:rPr>
        <w:t>omm</w:t>
      </w:r>
      <w:r>
        <w:rPr>
          <w:rFonts w:ascii="Arial" w:eastAsia="Arial" w:hAnsi="Arial" w:cs="Arial"/>
          <w:b/>
          <w:bCs/>
          <w:color w:val="696A6C"/>
          <w:spacing w:val="-11"/>
          <w:sz w:val="42"/>
          <w:szCs w:val="42"/>
        </w:rPr>
        <w:t>e</w:t>
      </w:r>
      <w:r>
        <w:rPr>
          <w:rFonts w:ascii="Arial" w:eastAsia="Arial" w:hAnsi="Arial" w:cs="Arial"/>
          <w:b/>
          <w:bCs/>
          <w:color w:val="696A6C"/>
          <w:spacing w:val="-10"/>
          <w:sz w:val="42"/>
          <w:szCs w:val="42"/>
        </w:rPr>
        <w:t>n</w:t>
      </w:r>
      <w:r>
        <w:rPr>
          <w:rFonts w:ascii="Arial" w:eastAsia="Arial" w:hAnsi="Arial" w:cs="Arial"/>
          <w:b/>
          <w:bCs/>
          <w:color w:val="696A6C"/>
          <w:spacing w:val="-6"/>
          <w:sz w:val="42"/>
          <w:szCs w:val="42"/>
        </w:rPr>
        <w:t>d</w:t>
      </w:r>
      <w:r>
        <w:rPr>
          <w:rFonts w:ascii="Arial" w:eastAsia="Arial" w:hAnsi="Arial" w:cs="Arial"/>
          <w:b/>
          <w:bCs/>
          <w:color w:val="696A6C"/>
          <w:spacing w:val="-9"/>
          <w:sz w:val="42"/>
          <w:szCs w:val="42"/>
        </w:rPr>
        <w:t>e</w:t>
      </w:r>
      <w:r>
        <w:rPr>
          <w:rFonts w:ascii="Arial" w:eastAsia="Arial" w:hAnsi="Arial" w:cs="Arial"/>
          <w:b/>
          <w:bCs/>
          <w:color w:val="696A6C"/>
          <w:sz w:val="42"/>
          <w:szCs w:val="42"/>
        </w:rPr>
        <w:t>d</w:t>
      </w:r>
      <w:r>
        <w:rPr>
          <w:rFonts w:ascii="Arial" w:eastAsia="Arial" w:hAnsi="Arial" w:cs="Arial"/>
          <w:b/>
          <w:bCs/>
          <w:color w:val="696A6C"/>
          <w:spacing w:val="-27"/>
          <w:sz w:val="42"/>
          <w:szCs w:val="42"/>
        </w:rPr>
        <w:t xml:space="preserve"> </w:t>
      </w:r>
      <w:r>
        <w:rPr>
          <w:rFonts w:ascii="Arial" w:eastAsia="Arial" w:hAnsi="Arial" w:cs="Arial"/>
          <w:b/>
          <w:bCs/>
          <w:color w:val="696A6C"/>
          <w:spacing w:val="-16"/>
          <w:sz w:val="42"/>
          <w:szCs w:val="42"/>
        </w:rPr>
        <w:t>P</w:t>
      </w:r>
      <w:r>
        <w:rPr>
          <w:rFonts w:ascii="Arial" w:eastAsia="Arial" w:hAnsi="Arial" w:cs="Arial"/>
          <w:b/>
          <w:bCs/>
          <w:color w:val="696A6C"/>
          <w:spacing w:val="-9"/>
          <w:sz w:val="42"/>
          <w:szCs w:val="42"/>
        </w:rPr>
        <w:t>r</w:t>
      </w:r>
      <w:r>
        <w:rPr>
          <w:rFonts w:ascii="Arial" w:eastAsia="Arial" w:hAnsi="Arial" w:cs="Arial"/>
          <w:b/>
          <w:bCs/>
          <w:color w:val="696A6C"/>
          <w:spacing w:val="-11"/>
          <w:sz w:val="42"/>
          <w:szCs w:val="42"/>
        </w:rPr>
        <w:t>a</w:t>
      </w:r>
      <w:r>
        <w:rPr>
          <w:rFonts w:ascii="Arial" w:eastAsia="Arial" w:hAnsi="Arial" w:cs="Arial"/>
          <w:b/>
          <w:bCs/>
          <w:color w:val="696A6C"/>
          <w:spacing w:val="-6"/>
          <w:sz w:val="42"/>
          <w:szCs w:val="42"/>
        </w:rPr>
        <w:t>ct</w:t>
      </w:r>
      <w:r>
        <w:rPr>
          <w:rFonts w:ascii="Arial" w:eastAsia="Arial" w:hAnsi="Arial" w:cs="Arial"/>
          <w:b/>
          <w:bCs/>
          <w:color w:val="696A6C"/>
          <w:spacing w:val="-10"/>
          <w:sz w:val="42"/>
          <w:szCs w:val="42"/>
        </w:rPr>
        <w:t>i</w:t>
      </w:r>
      <w:r>
        <w:rPr>
          <w:rFonts w:ascii="Arial" w:eastAsia="Arial" w:hAnsi="Arial" w:cs="Arial"/>
          <w:b/>
          <w:bCs/>
          <w:color w:val="696A6C"/>
          <w:spacing w:val="-7"/>
          <w:sz w:val="42"/>
          <w:szCs w:val="42"/>
        </w:rPr>
        <w:t>c</w:t>
      </w:r>
      <w:r>
        <w:rPr>
          <w:rFonts w:ascii="Arial" w:eastAsia="Arial" w:hAnsi="Arial" w:cs="Arial"/>
          <w:b/>
          <w:bCs/>
          <w:color w:val="696A6C"/>
          <w:sz w:val="42"/>
          <w:szCs w:val="42"/>
        </w:rPr>
        <w:t xml:space="preserve">e </w:t>
      </w:r>
      <w:r>
        <w:rPr>
          <w:rFonts w:ascii="Arial" w:eastAsia="Arial" w:hAnsi="Arial" w:cs="Arial"/>
          <w:b/>
          <w:bCs/>
          <w:color w:val="696A6C"/>
          <w:spacing w:val="-9"/>
          <w:sz w:val="42"/>
          <w:szCs w:val="42"/>
        </w:rPr>
        <w:t>a</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p</w:t>
      </w:r>
      <w:r>
        <w:rPr>
          <w:rFonts w:ascii="Arial" w:eastAsia="Arial" w:hAnsi="Arial" w:cs="Arial"/>
          <w:b/>
          <w:bCs/>
          <w:color w:val="696A6C"/>
          <w:spacing w:val="-11"/>
          <w:sz w:val="42"/>
          <w:szCs w:val="42"/>
        </w:rPr>
        <w:t>l</w:t>
      </w:r>
      <w:r>
        <w:rPr>
          <w:rFonts w:ascii="Arial" w:eastAsia="Arial" w:hAnsi="Arial" w:cs="Arial"/>
          <w:b/>
          <w:bCs/>
          <w:color w:val="696A6C"/>
          <w:spacing w:val="-10"/>
          <w:sz w:val="42"/>
          <w:szCs w:val="42"/>
        </w:rPr>
        <w:t>i</w:t>
      </w:r>
      <w:r>
        <w:rPr>
          <w:rFonts w:ascii="Arial" w:eastAsia="Arial" w:hAnsi="Arial" w:cs="Arial"/>
          <w:b/>
          <w:bCs/>
          <w:color w:val="696A6C"/>
          <w:spacing w:val="-7"/>
          <w:sz w:val="42"/>
          <w:szCs w:val="42"/>
        </w:rPr>
        <w:t>c</w:t>
      </w:r>
      <w:r>
        <w:rPr>
          <w:rFonts w:ascii="Arial" w:eastAsia="Arial" w:hAnsi="Arial" w:cs="Arial"/>
          <w:b/>
          <w:bCs/>
          <w:color w:val="696A6C"/>
          <w:spacing w:val="-8"/>
          <w:sz w:val="42"/>
          <w:szCs w:val="42"/>
        </w:rPr>
        <w:t>a</w:t>
      </w:r>
      <w:r>
        <w:rPr>
          <w:rFonts w:ascii="Arial" w:eastAsia="Arial" w:hAnsi="Arial" w:cs="Arial"/>
          <w:b/>
          <w:bCs/>
          <w:color w:val="696A6C"/>
          <w:spacing w:val="-9"/>
          <w:sz w:val="42"/>
          <w:szCs w:val="42"/>
        </w:rPr>
        <w:t>b</w:t>
      </w:r>
      <w:r>
        <w:rPr>
          <w:rFonts w:ascii="Arial" w:eastAsia="Arial" w:hAnsi="Arial" w:cs="Arial"/>
          <w:b/>
          <w:bCs/>
          <w:color w:val="696A6C"/>
          <w:spacing w:val="-7"/>
          <w:sz w:val="42"/>
          <w:szCs w:val="42"/>
        </w:rPr>
        <w:t>l</w:t>
      </w:r>
      <w:r>
        <w:rPr>
          <w:rFonts w:ascii="Arial" w:eastAsia="Arial" w:hAnsi="Arial" w:cs="Arial"/>
          <w:b/>
          <w:bCs/>
          <w:color w:val="696A6C"/>
          <w:sz w:val="42"/>
          <w:szCs w:val="42"/>
        </w:rPr>
        <w:t>e</w:t>
      </w:r>
      <w:r>
        <w:rPr>
          <w:rFonts w:ascii="Arial" w:eastAsia="Arial" w:hAnsi="Arial" w:cs="Arial"/>
          <w:b/>
          <w:bCs/>
          <w:color w:val="696A6C"/>
          <w:spacing w:val="-31"/>
          <w:sz w:val="42"/>
          <w:szCs w:val="42"/>
        </w:rPr>
        <w:t xml:space="preserve"> </w:t>
      </w:r>
      <w:r>
        <w:rPr>
          <w:rFonts w:ascii="Arial" w:eastAsia="Arial" w:hAnsi="Arial" w:cs="Arial"/>
          <w:b/>
          <w:bCs/>
          <w:color w:val="696A6C"/>
          <w:spacing w:val="-11"/>
          <w:sz w:val="42"/>
          <w:szCs w:val="42"/>
        </w:rPr>
        <w:t>t</w:t>
      </w:r>
      <w:r>
        <w:rPr>
          <w:rFonts w:ascii="Arial" w:eastAsia="Arial" w:hAnsi="Arial" w:cs="Arial"/>
          <w:b/>
          <w:bCs/>
          <w:color w:val="696A6C"/>
          <w:sz w:val="42"/>
          <w:szCs w:val="42"/>
        </w:rPr>
        <w:t>o</w:t>
      </w:r>
      <w:r>
        <w:rPr>
          <w:rFonts w:ascii="Arial" w:eastAsia="Arial" w:hAnsi="Arial" w:cs="Arial"/>
          <w:b/>
          <w:bCs/>
          <w:color w:val="696A6C"/>
          <w:spacing w:val="-20"/>
          <w:sz w:val="42"/>
          <w:szCs w:val="42"/>
        </w:rPr>
        <w:t xml:space="preserve"> </w:t>
      </w:r>
      <w:r>
        <w:rPr>
          <w:rFonts w:ascii="Arial" w:eastAsia="Arial" w:hAnsi="Arial" w:cs="Arial"/>
          <w:b/>
          <w:bCs/>
          <w:color w:val="696A6C"/>
          <w:spacing w:val="-10"/>
          <w:sz w:val="42"/>
          <w:szCs w:val="42"/>
        </w:rPr>
        <w:t>ch</w:t>
      </w:r>
      <w:r>
        <w:rPr>
          <w:rFonts w:ascii="Arial" w:eastAsia="Arial" w:hAnsi="Arial" w:cs="Arial"/>
          <w:b/>
          <w:bCs/>
          <w:color w:val="696A6C"/>
          <w:spacing w:val="-8"/>
          <w:sz w:val="42"/>
          <w:szCs w:val="42"/>
        </w:rPr>
        <w:t>a</w:t>
      </w:r>
      <w:r>
        <w:rPr>
          <w:rFonts w:ascii="Arial" w:eastAsia="Arial" w:hAnsi="Arial" w:cs="Arial"/>
          <w:b/>
          <w:bCs/>
          <w:color w:val="696A6C"/>
          <w:spacing w:val="-6"/>
          <w:sz w:val="42"/>
          <w:szCs w:val="42"/>
        </w:rPr>
        <w:t>r</w:t>
      </w:r>
      <w:r>
        <w:rPr>
          <w:rFonts w:ascii="Arial" w:eastAsia="Arial" w:hAnsi="Arial" w:cs="Arial"/>
          <w:b/>
          <w:bCs/>
          <w:color w:val="696A6C"/>
          <w:spacing w:val="-7"/>
          <w:sz w:val="42"/>
          <w:szCs w:val="42"/>
        </w:rPr>
        <w:t>i</w:t>
      </w:r>
      <w:r>
        <w:rPr>
          <w:rFonts w:ascii="Arial" w:eastAsia="Arial" w:hAnsi="Arial" w:cs="Arial"/>
          <w:b/>
          <w:bCs/>
          <w:color w:val="696A6C"/>
          <w:spacing w:val="-6"/>
          <w:sz w:val="42"/>
          <w:szCs w:val="42"/>
        </w:rPr>
        <w:t>t</w:t>
      </w:r>
      <w:r>
        <w:rPr>
          <w:rFonts w:ascii="Arial" w:eastAsia="Arial" w:hAnsi="Arial" w:cs="Arial"/>
          <w:b/>
          <w:bCs/>
          <w:color w:val="696A6C"/>
          <w:spacing w:val="-7"/>
          <w:sz w:val="42"/>
          <w:szCs w:val="42"/>
        </w:rPr>
        <w:t>i</w:t>
      </w:r>
      <w:r>
        <w:rPr>
          <w:rFonts w:ascii="Arial" w:eastAsia="Arial" w:hAnsi="Arial" w:cs="Arial"/>
          <w:b/>
          <w:bCs/>
          <w:color w:val="696A6C"/>
          <w:spacing w:val="-8"/>
          <w:sz w:val="42"/>
          <w:szCs w:val="42"/>
        </w:rPr>
        <w:t>e</w:t>
      </w:r>
      <w:r>
        <w:rPr>
          <w:rFonts w:ascii="Arial" w:eastAsia="Arial" w:hAnsi="Arial" w:cs="Arial"/>
          <w:b/>
          <w:bCs/>
          <w:color w:val="696A6C"/>
          <w:sz w:val="42"/>
          <w:szCs w:val="42"/>
        </w:rPr>
        <w:t>s</w:t>
      </w:r>
      <w:r>
        <w:rPr>
          <w:rFonts w:ascii="Arial" w:eastAsia="Arial" w:hAnsi="Arial" w:cs="Arial"/>
          <w:b/>
          <w:bCs/>
          <w:color w:val="696A6C"/>
          <w:spacing w:val="-22"/>
          <w:sz w:val="42"/>
          <w:szCs w:val="42"/>
        </w:rPr>
        <w:t xml:space="preserve"> </w:t>
      </w:r>
      <w:r>
        <w:rPr>
          <w:rFonts w:ascii="Arial" w:eastAsia="Arial" w:hAnsi="Arial" w:cs="Arial"/>
          <w:b/>
          <w:bCs/>
          <w:color w:val="696A6C"/>
          <w:spacing w:val="-8"/>
          <w:sz w:val="42"/>
          <w:szCs w:val="42"/>
        </w:rPr>
        <w:t>p</w:t>
      </w:r>
      <w:r>
        <w:rPr>
          <w:rFonts w:ascii="Arial" w:eastAsia="Arial" w:hAnsi="Arial" w:cs="Arial"/>
          <w:b/>
          <w:bCs/>
          <w:color w:val="696A6C"/>
          <w:spacing w:val="-10"/>
          <w:sz w:val="42"/>
          <w:szCs w:val="42"/>
        </w:rPr>
        <w:t>re</w:t>
      </w:r>
      <w:r>
        <w:rPr>
          <w:rFonts w:ascii="Arial" w:eastAsia="Arial" w:hAnsi="Arial" w:cs="Arial"/>
          <w:b/>
          <w:bCs/>
          <w:color w:val="696A6C"/>
          <w:spacing w:val="-9"/>
          <w:sz w:val="42"/>
          <w:szCs w:val="42"/>
        </w:rPr>
        <w:t>p</w:t>
      </w:r>
      <w:r>
        <w:rPr>
          <w:rFonts w:ascii="Arial" w:eastAsia="Arial" w:hAnsi="Arial" w:cs="Arial"/>
          <w:b/>
          <w:bCs/>
          <w:color w:val="696A6C"/>
          <w:spacing w:val="-8"/>
          <w:sz w:val="42"/>
          <w:szCs w:val="42"/>
        </w:rPr>
        <w:t>a</w:t>
      </w:r>
      <w:r>
        <w:rPr>
          <w:rFonts w:ascii="Arial" w:eastAsia="Arial" w:hAnsi="Arial" w:cs="Arial"/>
          <w:b/>
          <w:bCs/>
          <w:color w:val="696A6C"/>
          <w:spacing w:val="-6"/>
          <w:sz w:val="42"/>
          <w:szCs w:val="42"/>
        </w:rPr>
        <w:t>r</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28"/>
          <w:sz w:val="42"/>
          <w:szCs w:val="42"/>
        </w:rPr>
        <w:t xml:space="preserve"> </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h</w:t>
      </w:r>
      <w:r>
        <w:rPr>
          <w:rFonts w:ascii="Arial" w:eastAsia="Arial" w:hAnsi="Arial" w:cs="Arial"/>
          <w:b/>
          <w:bCs/>
          <w:color w:val="696A6C"/>
          <w:spacing w:val="-10"/>
          <w:sz w:val="42"/>
          <w:szCs w:val="42"/>
        </w:rPr>
        <w:t>ei</w:t>
      </w:r>
      <w:r>
        <w:rPr>
          <w:rFonts w:ascii="Arial" w:eastAsia="Arial" w:hAnsi="Arial" w:cs="Arial"/>
          <w:b/>
          <w:bCs/>
          <w:color w:val="696A6C"/>
          <w:sz w:val="42"/>
          <w:szCs w:val="42"/>
        </w:rPr>
        <w:t>r</w:t>
      </w:r>
      <w:r>
        <w:rPr>
          <w:rFonts w:ascii="Arial" w:eastAsia="Arial" w:hAnsi="Arial" w:cs="Arial"/>
          <w:b/>
          <w:bCs/>
          <w:color w:val="696A6C"/>
          <w:spacing w:val="-23"/>
          <w:sz w:val="42"/>
          <w:szCs w:val="42"/>
        </w:rPr>
        <w:t xml:space="preserve"> </w:t>
      </w:r>
      <w:r>
        <w:rPr>
          <w:rFonts w:ascii="Arial" w:eastAsia="Arial" w:hAnsi="Arial" w:cs="Arial"/>
          <w:b/>
          <w:bCs/>
          <w:color w:val="696A6C"/>
          <w:spacing w:val="-11"/>
          <w:sz w:val="42"/>
          <w:szCs w:val="42"/>
        </w:rPr>
        <w:t>a</w:t>
      </w:r>
      <w:r>
        <w:rPr>
          <w:rFonts w:ascii="Arial" w:eastAsia="Arial" w:hAnsi="Arial" w:cs="Arial"/>
          <w:b/>
          <w:bCs/>
          <w:color w:val="696A6C"/>
          <w:spacing w:val="-9"/>
          <w:sz w:val="42"/>
          <w:szCs w:val="42"/>
        </w:rPr>
        <w:t>cc</w:t>
      </w:r>
      <w:r>
        <w:rPr>
          <w:rFonts w:ascii="Arial" w:eastAsia="Arial" w:hAnsi="Arial" w:cs="Arial"/>
          <w:b/>
          <w:bCs/>
          <w:color w:val="696A6C"/>
          <w:spacing w:val="-10"/>
          <w:sz w:val="42"/>
          <w:szCs w:val="42"/>
        </w:rPr>
        <w:t>o</w:t>
      </w:r>
      <w:r>
        <w:rPr>
          <w:rFonts w:ascii="Arial" w:eastAsia="Arial" w:hAnsi="Arial" w:cs="Arial"/>
          <w:b/>
          <w:bCs/>
          <w:color w:val="696A6C"/>
          <w:spacing w:val="-11"/>
          <w:sz w:val="42"/>
          <w:szCs w:val="42"/>
        </w:rPr>
        <w:t>u</w:t>
      </w:r>
      <w:r>
        <w:rPr>
          <w:rFonts w:ascii="Arial" w:eastAsia="Arial" w:hAnsi="Arial" w:cs="Arial"/>
          <w:b/>
          <w:bCs/>
          <w:color w:val="696A6C"/>
          <w:spacing w:val="-10"/>
          <w:sz w:val="42"/>
          <w:szCs w:val="42"/>
        </w:rPr>
        <w:t>n</w:t>
      </w:r>
      <w:r>
        <w:rPr>
          <w:rFonts w:ascii="Arial" w:eastAsia="Arial" w:hAnsi="Arial" w:cs="Arial"/>
          <w:b/>
          <w:bCs/>
          <w:color w:val="696A6C"/>
          <w:spacing w:val="-5"/>
          <w:sz w:val="42"/>
          <w:szCs w:val="42"/>
        </w:rPr>
        <w:t>t</w:t>
      </w:r>
      <w:r>
        <w:rPr>
          <w:rFonts w:ascii="Arial" w:eastAsia="Arial" w:hAnsi="Arial" w:cs="Arial"/>
          <w:b/>
          <w:bCs/>
          <w:color w:val="696A6C"/>
          <w:sz w:val="42"/>
          <w:szCs w:val="42"/>
        </w:rPr>
        <w:t>s</w:t>
      </w:r>
      <w:r>
        <w:rPr>
          <w:rFonts w:ascii="Arial" w:eastAsia="Arial" w:hAnsi="Arial" w:cs="Arial"/>
          <w:b/>
          <w:bCs/>
          <w:color w:val="696A6C"/>
          <w:spacing w:val="-25"/>
          <w:sz w:val="42"/>
          <w:szCs w:val="42"/>
        </w:rPr>
        <w:t xml:space="preserve"> </w:t>
      </w:r>
      <w:r>
        <w:rPr>
          <w:rFonts w:ascii="Arial" w:eastAsia="Arial" w:hAnsi="Arial" w:cs="Arial"/>
          <w:b/>
          <w:bCs/>
          <w:color w:val="696A6C"/>
          <w:spacing w:val="-11"/>
          <w:sz w:val="42"/>
          <w:szCs w:val="42"/>
        </w:rPr>
        <w:t>i</w:t>
      </w:r>
      <w:r>
        <w:rPr>
          <w:rFonts w:ascii="Arial" w:eastAsia="Arial" w:hAnsi="Arial" w:cs="Arial"/>
          <w:b/>
          <w:bCs/>
          <w:color w:val="696A6C"/>
          <w:sz w:val="42"/>
          <w:szCs w:val="42"/>
        </w:rPr>
        <w:t xml:space="preserve">n </w:t>
      </w:r>
      <w:r>
        <w:rPr>
          <w:rFonts w:ascii="Arial" w:eastAsia="Arial" w:hAnsi="Arial" w:cs="Arial"/>
          <w:b/>
          <w:bCs/>
          <w:color w:val="696A6C"/>
          <w:spacing w:val="-11"/>
          <w:sz w:val="42"/>
          <w:szCs w:val="42"/>
        </w:rPr>
        <w:t>a</w:t>
      </w:r>
      <w:r>
        <w:rPr>
          <w:rFonts w:ascii="Arial" w:eastAsia="Arial" w:hAnsi="Arial" w:cs="Arial"/>
          <w:b/>
          <w:bCs/>
          <w:color w:val="696A6C"/>
          <w:spacing w:val="-9"/>
          <w:sz w:val="42"/>
          <w:szCs w:val="42"/>
        </w:rPr>
        <w:t>cco</w:t>
      </w:r>
      <w:r>
        <w:rPr>
          <w:rFonts w:ascii="Arial" w:eastAsia="Arial" w:hAnsi="Arial" w:cs="Arial"/>
          <w:b/>
          <w:bCs/>
          <w:color w:val="696A6C"/>
          <w:spacing w:val="-11"/>
          <w:sz w:val="42"/>
          <w:szCs w:val="42"/>
        </w:rPr>
        <w:t>r</w:t>
      </w:r>
      <w:r>
        <w:rPr>
          <w:rFonts w:ascii="Arial" w:eastAsia="Arial" w:hAnsi="Arial" w:cs="Arial"/>
          <w:b/>
          <w:bCs/>
          <w:color w:val="696A6C"/>
          <w:spacing w:val="-7"/>
          <w:sz w:val="42"/>
          <w:szCs w:val="42"/>
        </w:rPr>
        <w:t>d</w:t>
      </w:r>
      <w:r>
        <w:rPr>
          <w:rFonts w:ascii="Arial" w:eastAsia="Arial" w:hAnsi="Arial" w:cs="Arial"/>
          <w:b/>
          <w:bCs/>
          <w:color w:val="696A6C"/>
          <w:spacing w:val="-10"/>
          <w:sz w:val="42"/>
          <w:szCs w:val="42"/>
        </w:rPr>
        <w:t>an</w:t>
      </w:r>
      <w:r>
        <w:rPr>
          <w:rFonts w:ascii="Arial" w:eastAsia="Arial" w:hAnsi="Arial" w:cs="Arial"/>
          <w:b/>
          <w:bCs/>
          <w:color w:val="696A6C"/>
          <w:spacing w:val="-7"/>
          <w:sz w:val="42"/>
          <w:szCs w:val="42"/>
        </w:rPr>
        <w:t>c</w:t>
      </w:r>
      <w:r>
        <w:rPr>
          <w:rFonts w:ascii="Arial" w:eastAsia="Arial" w:hAnsi="Arial" w:cs="Arial"/>
          <w:b/>
          <w:bCs/>
          <w:color w:val="696A6C"/>
          <w:sz w:val="42"/>
          <w:szCs w:val="42"/>
        </w:rPr>
        <w:t>e</w:t>
      </w:r>
      <w:r>
        <w:rPr>
          <w:rFonts w:ascii="Arial" w:eastAsia="Arial" w:hAnsi="Arial" w:cs="Arial"/>
          <w:b/>
          <w:bCs/>
          <w:color w:val="696A6C"/>
          <w:spacing w:val="-27"/>
          <w:sz w:val="42"/>
          <w:szCs w:val="42"/>
        </w:rPr>
        <w:t xml:space="preserve"> </w:t>
      </w:r>
      <w:r>
        <w:rPr>
          <w:rFonts w:ascii="Arial" w:eastAsia="Arial" w:hAnsi="Arial" w:cs="Arial"/>
          <w:b/>
          <w:bCs/>
          <w:color w:val="696A6C"/>
          <w:spacing w:val="-9"/>
          <w:sz w:val="42"/>
          <w:szCs w:val="42"/>
        </w:rPr>
        <w:t>w</w:t>
      </w:r>
      <w:r>
        <w:rPr>
          <w:rFonts w:ascii="Arial" w:eastAsia="Arial" w:hAnsi="Arial" w:cs="Arial"/>
          <w:b/>
          <w:bCs/>
          <w:color w:val="696A6C"/>
          <w:spacing w:val="-7"/>
          <w:sz w:val="42"/>
          <w:szCs w:val="42"/>
        </w:rPr>
        <w:t>it</w:t>
      </w:r>
      <w:r>
        <w:rPr>
          <w:rFonts w:ascii="Arial" w:eastAsia="Arial" w:hAnsi="Arial" w:cs="Arial"/>
          <w:b/>
          <w:bCs/>
          <w:color w:val="696A6C"/>
          <w:sz w:val="42"/>
          <w:szCs w:val="42"/>
        </w:rPr>
        <w:t>h</w:t>
      </w:r>
      <w:r>
        <w:rPr>
          <w:rFonts w:ascii="Arial" w:eastAsia="Arial" w:hAnsi="Arial" w:cs="Arial"/>
          <w:b/>
          <w:bCs/>
          <w:color w:val="696A6C"/>
          <w:spacing w:val="-24"/>
          <w:sz w:val="42"/>
          <w:szCs w:val="42"/>
        </w:rPr>
        <w:t xml:space="preserve"> </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h</w:t>
      </w:r>
      <w:r>
        <w:rPr>
          <w:rFonts w:ascii="Arial" w:eastAsia="Arial" w:hAnsi="Arial" w:cs="Arial"/>
          <w:b/>
          <w:bCs/>
          <w:color w:val="696A6C"/>
          <w:sz w:val="42"/>
          <w:szCs w:val="42"/>
        </w:rPr>
        <w:t>e</w:t>
      </w:r>
      <w:r>
        <w:rPr>
          <w:rFonts w:ascii="Arial" w:eastAsia="Arial" w:hAnsi="Arial" w:cs="Arial"/>
          <w:b/>
          <w:bCs/>
          <w:color w:val="696A6C"/>
          <w:spacing w:val="-20"/>
          <w:sz w:val="42"/>
          <w:szCs w:val="42"/>
        </w:rPr>
        <w:t xml:space="preserve"> </w:t>
      </w:r>
      <w:r>
        <w:rPr>
          <w:rFonts w:ascii="Arial" w:eastAsia="Arial" w:hAnsi="Arial" w:cs="Arial"/>
          <w:b/>
          <w:bCs/>
          <w:color w:val="696A6C"/>
          <w:spacing w:val="-18"/>
          <w:sz w:val="42"/>
          <w:szCs w:val="42"/>
        </w:rPr>
        <w:t>F</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nanc</w:t>
      </w:r>
      <w:r>
        <w:rPr>
          <w:rFonts w:ascii="Arial" w:eastAsia="Arial" w:hAnsi="Arial" w:cs="Arial"/>
          <w:b/>
          <w:bCs/>
          <w:color w:val="696A6C"/>
          <w:spacing w:val="-9"/>
          <w:sz w:val="42"/>
          <w:szCs w:val="42"/>
        </w:rPr>
        <w:t>i</w:t>
      </w:r>
      <w:r>
        <w:rPr>
          <w:rFonts w:ascii="Arial" w:eastAsia="Arial" w:hAnsi="Arial" w:cs="Arial"/>
          <w:b/>
          <w:bCs/>
          <w:color w:val="696A6C"/>
          <w:spacing w:val="-10"/>
          <w:sz w:val="42"/>
          <w:szCs w:val="42"/>
        </w:rPr>
        <w:t>a</w:t>
      </w:r>
      <w:r>
        <w:rPr>
          <w:rFonts w:ascii="Arial" w:eastAsia="Arial" w:hAnsi="Arial" w:cs="Arial"/>
          <w:b/>
          <w:bCs/>
          <w:color w:val="696A6C"/>
          <w:sz w:val="42"/>
          <w:szCs w:val="42"/>
        </w:rPr>
        <w:t>l</w:t>
      </w:r>
      <w:r>
        <w:rPr>
          <w:rFonts w:ascii="Arial" w:eastAsia="Arial" w:hAnsi="Arial" w:cs="Arial"/>
          <w:b/>
          <w:bCs/>
          <w:color w:val="696A6C"/>
          <w:spacing w:val="-33"/>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10"/>
          <w:sz w:val="42"/>
          <w:szCs w:val="42"/>
        </w:rPr>
        <w:t>e</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o</w:t>
      </w:r>
      <w:r>
        <w:rPr>
          <w:rFonts w:ascii="Arial" w:eastAsia="Arial" w:hAnsi="Arial" w:cs="Arial"/>
          <w:b/>
          <w:bCs/>
          <w:color w:val="696A6C"/>
          <w:spacing w:val="6"/>
          <w:sz w:val="42"/>
          <w:szCs w:val="42"/>
        </w:rPr>
        <w:t>r</w:t>
      </w:r>
      <w:r>
        <w:rPr>
          <w:rFonts w:ascii="Arial" w:eastAsia="Arial" w:hAnsi="Arial" w:cs="Arial"/>
          <w:b/>
          <w:bCs/>
          <w:color w:val="696A6C"/>
          <w:spacing w:val="-6"/>
          <w:sz w:val="42"/>
          <w:szCs w:val="42"/>
        </w:rPr>
        <w:t>t</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31"/>
          <w:sz w:val="42"/>
          <w:szCs w:val="42"/>
        </w:rPr>
        <w:t xml:space="preserve"> </w:t>
      </w:r>
      <w:r>
        <w:rPr>
          <w:rFonts w:ascii="Arial" w:eastAsia="Arial" w:hAnsi="Arial" w:cs="Arial"/>
          <w:b/>
          <w:bCs/>
          <w:color w:val="696A6C"/>
          <w:spacing w:val="-11"/>
          <w:sz w:val="42"/>
          <w:szCs w:val="42"/>
        </w:rPr>
        <w:t>S</w:t>
      </w:r>
      <w:r>
        <w:rPr>
          <w:rFonts w:ascii="Arial" w:eastAsia="Arial" w:hAnsi="Arial" w:cs="Arial"/>
          <w:b/>
          <w:bCs/>
          <w:color w:val="696A6C"/>
          <w:spacing w:val="-6"/>
          <w:sz w:val="42"/>
          <w:szCs w:val="42"/>
        </w:rPr>
        <w:t>t</w:t>
      </w:r>
      <w:r>
        <w:rPr>
          <w:rFonts w:ascii="Arial" w:eastAsia="Arial" w:hAnsi="Arial" w:cs="Arial"/>
          <w:b/>
          <w:bCs/>
          <w:color w:val="696A6C"/>
          <w:spacing w:val="-10"/>
          <w:sz w:val="42"/>
          <w:szCs w:val="42"/>
        </w:rPr>
        <w:t>an</w:t>
      </w:r>
      <w:r>
        <w:rPr>
          <w:rFonts w:ascii="Arial" w:eastAsia="Arial" w:hAnsi="Arial" w:cs="Arial"/>
          <w:b/>
          <w:bCs/>
          <w:color w:val="696A6C"/>
          <w:spacing w:val="-8"/>
          <w:sz w:val="42"/>
          <w:szCs w:val="42"/>
        </w:rPr>
        <w:t>da</w:t>
      </w:r>
      <w:r>
        <w:rPr>
          <w:rFonts w:ascii="Arial" w:eastAsia="Arial" w:hAnsi="Arial" w:cs="Arial"/>
          <w:b/>
          <w:bCs/>
          <w:color w:val="696A6C"/>
          <w:spacing w:val="-11"/>
          <w:sz w:val="42"/>
          <w:szCs w:val="42"/>
        </w:rPr>
        <w:t>r</w:t>
      </w:r>
      <w:r>
        <w:rPr>
          <w:rFonts w:ascii="Arial" w:eastAsia="Arial" w:hAnsi="Arial" w:cs="Arial"/>
          <w:b/>
          <w:bCs/>
          <w:color w:val="696A6C"/>
          <w:sz w:val="42"/>
          <w:szCs w:val="42"/>
        </w:rPr>
        <w:t xml:space="preserve">d </w:t>
      </w:r>
      <w:r>
        <w:rPr>
          <w:rFonts w:ascii="Arial" w:eastAsia="Arial" w:hAnsi="Arial" w:cs="Arial"/>
          <w:b/>
          <w:bCs/>
          <w:color w:val="696A6C"/>
          <w:spacing w:val="-9"/>
          <w:sz w:val="42"/>
          <w:szCs w:val="42"/>
        </w:rPr>
        <w:t>a</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p</w:t>
      </w:r>
      <w:r>
        <w:rPr>
          <w:rFonts w:ascii="Arial" w:eastAsia="Arial" w:hAnsi="Arial" w:cs="Arial"/>
          <w:b/>
          <w:bCs/>
          <w:color w:val="696A6C"/>
          <w:spacing w:val="-11"/>
          <w:sz w:val="42"/>
          <w:szCs w:val="42"/>
        </w:rPr>
        <w:t>l</w:t>
      </w:r>
      <w:r>
        <w:rPr>
          <w:rFonts w:ascii="Arial" w:eastAsia="Arial" w:hAnsi="Arial" w:cs="Arial"/>
          <w:b/>
          <w:bCs/>
          <w:color w:val="696A6C"/>
          <w:spacing w:val="-10"/>
          <w:sz w:val="42"/>
          <w:szCs w:val="42"/>
        </w:rPr>
        <w:t>i</w:t>
      </w:r>
      <w:r>
        <w:rPr>
          <w:rFonts w:ascii="Arial" w:eastAsia="Arial" w:hAnsi="Arial" w:cs="Arial"/>
          <w:b/>
          <w:bCs/>
          <w:color w:val="696A6C"/>
          <w:spacing w:val="-7"/>
          <w:sz w:val="42"/>
          <w:szCs w:val="42"/>
        </w:rPr>
        <w:t>c</w:t>
      </w:r>
      <w:r>
        <w:rPr>
          <w:rFonts w:ascii="Arial" w:eastAsia="Arial" w:hAnsi="Arial" w:cs="Arial"/>
          <w:b/>
          <w:bCs/>
          <w:color w:val="696A6C"/>
          <w:spacing w:val="-8"/>
          <w:sz w:val="42"/>
          <w:szCs w:val="42"/>
        </w:rPr>
        <w:t>a</w:t>
      </w:r>
      <w:r>
        <w:rPr>
          <w:rFonts w:ascii="Arial" w:eastAsia="Arial" w:hAnsi="Arial" w:cs="Arial"/>
          <w:b/>
          <w:bCs/>
          <w:color w:val="696A6C"/>
          <w:spacing w:val="-9"/>
          <w:sz w:val="42"/>
          <w:szCs w:val="42"/>
        </w:rPr>
        <w:t>b</w:t>
      </w:r>
      <w:r>
        <w:rPr>
          <w:rFonts w:ascii="Arial" w:eastAsia="Arial" w:hAnsi="Arial" w:cs="Arial"/>
          <w:b/>
          <w:bCs/>
          <w:color w:val="696A6C"/>
          <w:spacing w:val="-7"/>
          <w:sz w:val="42"/>
          <w:szCs w:val="42"/>
        </w:rPr>
        <w:t>l</w:t>
      </w:r>
      <w:r>
        <w:rPr>
          <w:rFonts w:ascii="Arial" w:eastAsia="Arial" w:hAnsi="Arial" w:cs="Arial"/>
          <w:b/>
          <w:bCs/>
          <w:color w:val="696A6C"/>
          <w:sz w:val="42"/>
          <w:szCs w:val="42"/>
        </w:rPr>
        <w:t>e</w:t>
      </w:r>
      <w:r>
        <w:rPr>
          <w:rFonts w:ascii="Arial" w:eastAsia="Arial" w:hAnsi="Arial" w:cs="Arial"/>
          <w:b/>
          <w:bCs/>
          <w:color w:val="696A6C"/>
          <w:spacing w:val="-31"/>
          <w:sz w:val="42"/>
          <w:szCs w:val="42"/>
        </w:rPr>
        <w:t xml:space="preserve"> </w:t>
      </w:r>
      <w:r>
        <w:rPr>
          <w:rFonts w:ascii="Arial" w:eastAsia="Arial" w:hAnsi="Arial" w:cs="Arial"/>
          <w:b/>
          <w:bCs/>
          <w:color w:val="696A6C"/>
          <w:spacing w:val="-11"/>
          <w:sz w:val="42"/>
          <w:szCs w:val="42"/>
        </w:rPr>
        <w:t>i</w:t>
      </w:r>
      <w:r>
        <w:rPr>
          <w:rFonts w:ascii="Arial" w:eastAsia="Arial" w:hAnsi="Arial" w:cs="Arial"/>
          <w:b/>
          <w:bCs/>
          <w:color w:val="696A6C"/>
          <w:sz w:val="42"/>
          <w:szCs w:val="42"/>
        </w:rPr>
        <w:t>n</w:t>
      </w:r>
      <w:r>
        <w:rPr>
          <w:rFonts w:ascii="Arial" w:eastAsia="Arial" w:hAnsi="Arial" w:cs="Arial"/>
          <w:b/>
          <w:bCs/>
          <w:color w:val="696A6C"/>
          <w:spacing w:val="-21"/>
          <w:sz w:val="42"/>
          <w:szCs w:val="42"/>
        </w:rPr>
        <w:t xml:space="preserve"> </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h</w:t>
      </w:r>
      <w:r>
        <w:rPr>
          <w:rFonts w:ascii="Arial" w:eastAsia="Arial" w:hAnsi="Arial" w:cs="Arial"/>
          <w:b/>
          <w:bCs/>
          <w:color w:val="696A6C"/>
          <w:sz w:val="42"/>
          <w:szCs w:val="42"/>
        </w:rPr>
        <w:t>e</w:t>
      </w:r>
      <w:r>
        <w:rPr>
          <w:rFonts w:ascii="Arial" w:eastAsia="Arial" w:hAnsi="Arial" w:cs="Arial"/>
          <w:b/>
          <w:bCs/>
          <w:color w:val="696A6C"/>
          <w:spacing w:val="-22"/>
          <w:sz w:val="42"/>
          <w:szCs w:val="42"/>
        </w:rPr>
        <w:t xml:space="preserve"> </w:t>
      </w:r>
      <w:r>
        <w:rPr>
          <w:rFonts w:ascii="Arial" w:eastAsia="Arial" w:hAnsi="Arial" w:cs="Arial"/>
          <w:b/>
          <w:bCs/>
          <w:color w:val="696A6C"/>
          <w:spacing w:val="-11"/>
          <w:sz w:val="42"/>
          <w:szCs w:val="42"/>
        </w:rPr>
        <w:t>U</w:t>
      </w:r>
      <w:r>
        <w:rPr>
          <w:rFonts w:ascii="Arial" w:eastAsia="Arial" w:hAnsi="Arial" w:cs="Arial"/>
          <w:b/>
          <w:bCs/>
          <w:color w:val="696A6C"/>
          <w:sz w:val="42"/>
          <w:szCs w:val="42"/>
        </w:rPr>
        <w:t>K</w:t>
      </w:r>
      <w:r>
        <w:rPr>
          <w:rFonts w:ascii="Arial" w:eastAsia="Arial" w:hAnsi="Arial" w:cs="Arial"/>
          <w:b/>
          <w:bCs/>
          <w:color w:val="696A6C"/>
          <w:spacing w:val="-17"/>
          <w:sz w:val="42"/>
          <w:szCs w:val="42"/>
        </w:rPr>
        <w:t xml:space="preserve"> </w:t>
      </w:r>
      <w:r>
        <w:rPr>
          <w:rFonts w:ascii="Arial" w:eastAsia="Arial" w:hAnsi="Arial" w:cs="Arial"/>
          <w:b/>
          <w:bCs/>
          <w:color w:val="696A6C"/>
          <w:spacing w:val="-10"/>
          <w:sz w:val="42"/>
          <w:szCs w:val="42"/>
        </w:rPr>
        <w:t>an</w:t>
      </w:r>
      <w:r>
        <w:rPr>
          <w:rFonts w:ascii="Arial" w:eastAsia="Arial" w:hAnsi="Arial" w:cs="Arial"/>
          <w:b/>
          <w:bCs/>
          <w:color w:val="696A6C"/>
          <w:sz w:val="42"/>
          <w:szCs w:val="42"/>
        </w:rPr>
        <w:t>d</w:t>
      </w:r>
      <w:r>
        <w:rPr>
          <w:rFonts w:ascii="Arial" w:eastAsia="Arial" w:hAnsi="Arial" w:cs="Arial"/>
          <w:b/>
          <w:bCs/>
          <w:color w:val="696A6C"/>
          <w:spacing w:val="-22"/>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10"/>
          <w:sz w:val="42"/>
          <w:szCs w:val="42"/>
        </w:rPr>
        <w:t>e</w:t>
      </w:r>
      <w:r>
        <w:rPr>
          <w:rFonts w:ascii="Arial" w:eastAsia="Arial" w:hAnsi="Arial" w:cs="Arial"/>
          <w:b/>
          <w:bCs/>
          <w:color w:val="696A6C"/>
          <w:spacing w:val="-9"/>
          <w:sz w:val="42"/>
          <w:szCs w:val="42"/>
        </w:rPr>
        <w:t>p</w:t>
      </w:r>
      <w:r>
        <w:rPr>
          <w:rFonts w:ascii="Arial" w:eastAsia="Arial" w:hAnsi="Arial" w:cs="Arial"/>
          <w:b/>
          <w:bCs/>
          <w:color w:val="696A6C"/>
          <w:spacing w:val="-10"/>
          <w:sz w:val="42"/>
          <w:szCs w:val="42"/>
        </w:rPr>
        <w:t>u</w:t>
      </w:r>
      <w:r>
        <w:rPr>
          <w:rFonts w:ascii="Arial" w:eastAsia="Arial" w:hAnsi="Arial" w:cs="Arial"/>
          <w:b/>
          <w:bCs/>
          <w:color w:val="696A6C"/>
          <w:spacing w:val="-9"/>
          <w:sz w:val="42"/>
          <w:szCs w:val="42"/>
        </w:rPr>
        <w:t>b</w:t>
      </w:r>
      <w:r>
        <w:rPr>
          <w:rFonts w:ascii="Arial" w:eastAsia="Arial" w:hAnsi="Arial" w:cs="Arial"/>
          <w:b/>
          <w:bCs/>
          <w:color w:val="696A6C"/>
          <w:spacing w:val="-11"/>
          <w:sz w:val="42"/>
          <w:szCs w:val="42"/>
        </w:rPr>
        <w:t>l</w:t>
      </w:r>
      <w:r>
        <w:rPr>
          <w:rFonts w:ascii="Arial" w:eastAsia="Arial" w:hAnsi="Arial" w:cs="Arial"/>
          <w:b/>
          <w:bCs/>
          <w:color w:val="696A6C"/>
          <w:spacing w:val="-10"/>
          <w:sz w:val="42"/>
          <w:szCs w:val="42"/>
        </w:rPr>
        <w:t>i</w:t>
      </w:r>
      <w:r>
        <w:rPr>
          <w:rFonts w:ascii="Arial" w:eastAsia="Arial" w:hAnsi="Arial" w:cs="Arial"/>
          <w:b/>
          <w:bCs/>
          <w:color w:val="696A6C"/>
          <w:sz w:val="42"/>
          <w:szCs w:val="42"/>
        </w:rPr>
        <w:t>c</w:t>
      </w:r>
      <w:r>
        <w:rPr>
          <w:rFonts w:ascii="Arial" w:eastAsia="Arial" w:hAnsi="Arial" w:cs="Arial"/>
          <w:b/>
          <w:bCs/>
          <w:color w:val="696A6C"/>
          <w:spacing w:val="-27"/>
          <w:sz w:val="42"/>
          <w:szCs w:val="42"/>
        </w:rPr>
        <w:t xml:space="preserve"> </w:t>
      </w:r>
      <w:r>
        <w:rPr>
          <w:rFonts w:ascii="Arial" w:eastAsia="Arial" w:hAnsi="Arial" w:cs="Arial"/>
          <w:b/>
          <w:bCs/>
          <w:color w:val="696A6C"/>
          <w:spacing w:val="-11"/>
          <w:sz w:val="42"/>
          <w:szCs w:val="42"/>
        </w:rPr>
        <w:t>o</w:t>
      </w:r>
      <w:r>
        <w:rPr>
          <w:rFonts w:ascii="Arial" w:eastAsia="Arial" w:hAnsi="Arial" w:cs="Arial"/>
          <w:b/>
          <w:bCs/>
          <w:color w:val="696A6C"/>
          <w:sz w:val="42"/>
          <w:szCs w:val="42"/>
        </w:rPr>
        <w:t>f</w:t>
      </w:r>
      <w:r>
        <w:rPr>
          <w:rFonts w:ascii="Arial" w:eastAsia="Arial" w:hAnsi="Arial" w:cs="Arial"/>
          <w:b/>
          <w:bCs/>
          <w:color w:val="696A6C"/>
          <w:spacing w:val="-20"/>
          <w:sz w:val="42"/>
          <w:szCs w:val="42"/>
        </w:rPr>
        <w:t xml:space="preserve"> </w:t>
      </w:r>
      <w:r>
        <w:rPr>
          <w:rFonts w:ascii="Arial" w:eastAsia="Arial" w:hAnsi="Arial" w:cs="Arial"/>
          <w:b/>
          <w:bCs/>
          <w:color w:val="696A6C"/>
          <w:spacing w:val="-7"/>
          <w:sz w:val="42"/>
          <w:szCs w:val="42"/>
        </w:rPr>
        <w:t>I</w:t>
      </w:r>
      <w:r>
        <w:rPr>
          <w:rFonts w:ascii="Arial" w:eastAsia="Arial" w:hAnsi="Arial" w:cs="Arial"/>
          <w:b/>
          <w:bCs/>
          <w:color w:val="696A6C"/>
          <w:spacing w:val="-10"/>
          <w:sz w:val="42"/>
          <w:szCs w:val="42"/>
        </w:rPr>
        <w:t>re</w:t>
      </w:r>
      <w:r>
        <w:rPr>
          <w:rFonts w:ascii="Arial" w:eastAsia="Arial" w:hAnsi="Arial" w:cs="Arial"/>
          <w:b/>
          <w:bCs/>
          <w:color w:val="696A6C"/>
          <w:spacing w:val="-9"/>
          <w:sz w:val="42"/>
          <w:szCs w:val="42"/>
        </w:rPr>
        <w:t>l</w:t>
      </w:r>
      <w:r>
        <w:rPr>
          <w:rFonts w:ascii="Arial" w:eastAsia="Arial" w:hAnsi="Arial" w:cs="Arial"/>
          <w:b/>
          <w:bCs/>
          <w:color w:val="696A6C"/>
          <w:spacing w:val="-10"/>
          <w:sz w:val="42"/>
          <w:szCs w:val="42"/>
        </w:rPr>
        <w:t>an</w:t>
      </w:r>
      <w:r>
        <w:rPr>
          <w:rFonts w:ascii="Arial" w:eastAsia="Arial" w:hAnsi="Arial" w:cs="Arial"/>
          <w:b/>
          <w:bCs/>
          <w:color w:val="696A6C"/>
          <w:sz w:val="42"/>
          <w:szCs w:val="42"/>
        </w:rPr>
        <w:t>d</w:t>
      </w:r>
    </w:p>
    <w:p w14:paraId="72B45F3A" w14:textId="77777777" w:rsidR="00932874" w:rsidRDefault="00932874">
      <w:pPr>
        <w:spacing w:before="7" w:after="0" w:line="160" w:lineRule="exact"/>
        <w:rPr>
          <w:sz w:val="16"/>
          <w:szCs w:val="16"/>
        </w:rPr>
      </w:pPr>
    </w:p>
    <w:p w14:paraId="0CB62BE2" w14:textId="77777777" w:rsidR="00932874" w:rsidRDefault="00932874">
      <w:pPr>
        <w:spacing w:after="0" w:line="200" w:lineRule="exact"/>
        <w:rPr>
          <w:sz w:val="20"/>
          <w:szCs w:val="20"/>
        </w:rPr>
      </w:pPr>
    </w:p>
    <w:p w14:paraId="43BE41A9" w14:textId="77777777" w:rsidR="00932874" w:rsidRDefault="00932874">
      <w:pPr>
        <w:spacing w:after="0" w:line="200" w:lineRule="exact"/>
        <w:rPr>
          <w:sz w:val="20"/>
          <w:szCs w:val="20"/>
        </w:rPr>
      </w:pPr>
    </w:p>
    <w:p w14:paraId="74E9D1F3" w14:textId="77777777" w:rsidR="00932874" w:rsidRDefault="00322581">
      <w:pPr>
        <w:spacing w:after="0" w:line="240" w:lineRule="auto"/>
        <w:ind w:left="114" w:right="-20"/>
        <w:rPr>
          <w:rFonts w:ascii="Arial" w:eastAsia="Arial" w:hAnsi="Arial" w:cs="Arial"/>
          <w:sz w:val="42"/>
          <w:szCs w:val="42"/>
        </w:rPr>
      </w:pPr>
      <w:r w:rsidRPr="00322581">
        <w:rPr>
          <w:rFonts w:ascii="Arial" w:eastAsia="Arial" w:hAnsi="Arial" w:cs="Arial"/>
          <w:b/>
          <w:bCs/>
          <w:color w:val="696A6C"/>
          <w:spacing w:val="-3"/>
          <w:sz w:val="42"/>
          <w:szCs w:val="42"/>
        </w:rPr>
        <w:t>INFORMATION SHEET 1</w:t>
      </w:r>
      <w:r>
        <w:rPr>
          <w:rFonts w:ascii="Arial" w:eastAsia="Arial" w:hAnsi="Arial" w:cs="Arial"/>
          <w:b/>
          <w:bCs/>
          <w:color w:val="696A6C"/>
          <w:spacing w:val="-3"/>
          <w:sz w:val="42"/>
          <w:szCs w:val="42"/>
        </w:rPr>
        <w:t xml:space="preserve">: </w:t>
      </w:r>
      <w:r w:rsidRPr="00322581">
        <w:rPr>
          <w:rFonts w:ascii="Arial" w:eastAsia="Arial" w:hAnsi="Arial" w:cs="Arial"/>
          <w:b/>
          <w:bCs/>
          <w:color w:val="696A6C"/>
          <w:spacing w:val="-3"/>
          <w:sz w:val="42"/>
          <w:szCs w:val="42"/>
        </w:rPr>
        <w:t>Implementation Issues</w:t>
      </w:r>
    </w:p>
    <w:p w14:paraId="49284426" w14:textId="77777777" w:rsidR="00932874" w:rsidRDefault="00932874">
      <w:pPr>
        <w:spacing w:before="2" w:after="0" w:line="130" w:lineRule="exact"/>
        <w:rPr>
          <w:sz w:val="13"/>
          <w:szCs w:val="13"/>
        </w:rPr>
      </w:pPr>
    </w:p>
    <w:p w14:paraId="28CB3CCC" w14:textId="77777777" w:rsidR="00932874" w:rsidRDefault="00932874">
      <w:pPr>
        <w:spacing w:after="0" w:line="200" w:lineRule="exact"/>
        <w:rPr>
          <w:sz w:val="20"/>
          <w:szCs w:val="20"/>
        </w:rPr>
      </w:pPr>
    </w:p>
    <w:p w14:paraId="17E83388" w14:textId="77777777" w:rsidR="00932874" w:rsidRDefault="00932874">
      <w:pPr>
        <w:spacing w:after="0" w:line="200" w:lineRule="exact"/>
        <w:rPr>
          <w:sz w:val="20"/>
          <w:szCs w:val="20"/>
        </w:rPr>
      </w:pPr>
    </w:p>
    <w:p w14:paraId="420D9E94" w14:textId="6439E760" w:rsidR="00932874" w:rsidRDefault="0095190E">
      <w:pPr>
        <w:spacing w:after="0" w:line="240" w:lineRule="auto"/>
        <w:ind w:left="114" w:right="-20"/>
        <w:rPr>
          <w:rFonts w:ascii="Arial" w:eastAsia="Arial" w:hAnsi="Arial" w:cs="Arial"/>
          <w:color w:val="4D4D4F"/>
        </w:rPr>
      </w:pPr>
      <w:r>
        <w:rPr>
          <w:rFonts w:ascii="Arial" w:eastAsia="Arial" w:hAnsi="Arial" w:cs="Arial"/>
          <w:color w:val="4D4D4F"/>
          <w:spacing w:val="-2"/>
        </w:rPr>
        <w:t>P</w:t>
      </w:r>
      <w:r>
        <w:rPr>
          <w:rFonts w:ascii="Arial" w:eastAsia="Arial" w:hAnsi="Arial" w:cs="Arial"/>
          <w:color w:val="4D4D4F"/>
          <w:spacing w:val="-1"/>
        </w:rPr>
        <w:t>u</w:t>
      </w:r>
      <w:r>
        <w:rPr>
          <w:rFonts w:ascii="Arial" w:eastAsia="Arial" w:hAnsi="Arial" w:cs="Arial"/>
          <w:color w:val="4D4D4F"/>
        </w:rPr>
        <w:t>b</w:t>
      </w:r>
      <w:r>
        <w:rPr>
          <w:rFonts w:ascii="Arial" w:eastAsia="Arial" w:hAnsi="Arial" w:cs="Arial"/>
          <w:color w:val="4D4D4F"/>
          <w:spacing w:val="-1"/>
        </w:rPr>
        <w:t>l</w:t>
      </w:r>
      <w:r>
        <w:rPr>
          <w:rFonts w:ascii="Arial" w:eastAsia="Arial" w:hAnsi="Arial" w:cs="Arial"/>
          <w:color w:val="4D4D4F"/>
        </w:rPr>
        <w:t>i</w:t>
      </w:r>
      <w:r>
        <w:rPr>
          <w:rFonts w:ascii="Arial" w:eastAsia="Arial" w:hAnsi="Arial" w:cs="Arial"/>
          <w:color w:val="4D4D4F"/>
          <w:spacing w:val="3"/>
        </w:rPr>
        <w:t>c</w:t>
      </w:r>
      <w:r>
        <w:rPr>
          <w:rFonts w:ascii="Arial" w:eastAsia="Arial" w:hAnsi="Arial" w:cs="Arial"/>
          <w:color w:val="4D4D4F"/>
          <w:spacing w:val="-2"/>
        </w:rPr>
        <w:t>a</w:t>
      </w:r>
      <w:r>
        <w:rPr>
          <w:rFonts w:ascii="Arial" w:eastAsia="Arial" w:hAnsi="Arial" w:cs="Arial"/>
          <w:color w:val="4D4D4F"/>
        </w:rPr>
        <w:t>tion</w:t>
      </w:r>
      <w:r>
        <w:rPr>
          <w:rFonts w:ascii="Arial" w:eastAsia="Arial" w:hAnsi="Arial" w:cs="Arial"/>
          <w:color w:val="4D4D4F"/>
          <w:spacing w:val="-2"/>
        </w:rPr>
        <w:t xml:space="preserve"> </w:t>
      </w:r>
      <w:r>
        <w:rPr>
          <w:rFonts w:ascii="Arial" w:eastAsia="Arial" w:hAnsi="Arial" w:cs="Arial"/>
          <w:color w:val="4D4D4F"/>
          <w:spacing w:val="-1"/>
        </w:rPr>
        <w:t>d</w:t>
      </w:r>
      <w:r>
        <w:rPr>
          <w:rFonts w:ascii="Arial" w:eastAsia="Arial" w:hAnsi="Arial" w:cs="Arial"/>
          <w:color w:val="4D4D4F"/>
          <w:spacing w:val="-2"/>
        </w:rPr>
        <w:t>at</w:t>
      </w:r>
      <w:r>
        <w:rPr>
          <w:rFonts w:ascii="Arial" w:eastAsia="Arial" w:hAnsi="Arial" w:cs="Arial"/>
          <w:color w:val="4D4D4F"/>
          <w:spacing w:val="-6"/>
        </w:rPr>
        <w:t>e</w:t>
      </w:r>
      <w:r>
        <w:rPr>
          <w:rFonts w:ascii="Arial" w:eastAsia="Arial" w:hAnsi="Arial" w:cs="Arial"/>
          <w:color w:val="4D4D4F"/>
        </w:rPr>
        <w:t>:</w:t>
      </w:r>
      <w:r>
        <w:rPr>
          <w:rFonts w:ascii="Arial" w:eastAsia="Arial" w:hAnsi="Arial" w:cs="Arial"/>
          <w:color w:val="4D4D4F"/>
          <w:spacing w:val="-1"/>
        </w:rPr>
        <w:t xml:space="preserve"> </w:t>
      </w:r>
      <w:r w:rsidR="004B43B3">
        <w:rPr>
          <w:rFonts w:ascii="Arial" w:eastAsia="Arial" w:hAnsi="Arial" w:cs="Arial"/>
          <w:color w:val="4D4D4F"/>
        </w:rPr>
        <w:t>April</w:t>
      </w:r>
      <w:r w:rsidR="00A84686" w:rsidRPr="00A51061">
        <w:rPr>
          <w:rFonts w:ascii="Arial" w:eastAsia="Arial" w:hAnsi="Arial" w:cs="Arial"/>
          <w:color w:val="4D4D4F"/>
          <w:spacing w:val="-1"/>
        </w:rPr>
        <w:t xml:space="preserve"> </w:t>
      </w:r>
      <w:r w:rsidRPr="00A51061">
        <w:rPr>
          <w:rFonts w:ascii="Arial" w:eastAsia="Arial" w:hAnsi="Arial" w:cs="Arial"/>
          <w:color w:val="4D4D4F"/>
        </w:rPr>
        <w:t>2</w:t>
      </w:r>
      <w:r w:rsidRPr="00A51061">
        <w:rPr>
          <w:rFonts w:ascii="Arial" w:eastAsia="Arial" w:hAnsi="Arial" w:cs="Arial"/>
          <w:color w:val="4D4D4F"/>
          <w:spacing w:val="-6"/>
        </w:rPr>
        <w:t>0</w:t>
      </w:r>
      <w:r w:rsidRPr="00A51061">
        <w:rPr>
          <w:rFonts w:ascii="Arial" w:eastAsia="Arial" w:hAnsi="Arial" w:cs="Arial"/>
          <w:color w:val="4D4D4F"/>
          <w:spacing w:val="-8"/>
        </w:rPr>
        <w:t>1</w:t>
      </w:r>
      <w:r w:rsidR="00322581" w:rsidRPr="00A51061">
        <w:rPr>
          <w:rFonts w:ascii="Arial" w:eastAsia="Arial" w:hAnsi="Arial" w:cs="Arial"/>
          <w:color w:val="4D4D4F"/>
          <w:spacing w:val="-8"/>
        </w:rPr>
        <w:t>7</w:t>
      </w:r>
    </w:p>
    <w:p w14:paraId="1F897A1F" w14:textId="77777777" w:rsidR="001015E0" w:rsidRDefault="001015E0">
      <w:pPr>
        <w:spacing w:after="0" w:line="240" w:lineRule="auto"/>
        <w:ind w:left="114" w:right="-20"/>
        <w:rPr>
          <w:rFonts w:ascii="Arial" w:eastAsia="Arial" w:hAnsi="Arial" w:cs="Arial"/>
          <w:color w:val="4D4D4F"/>
        </w:rPr>
      </w:pPr>
    </w:p>
    <w:p w14:paraId="781EAF61" w14:textId="77777777" w:rsidR="001015E0" w:rsidRDefault="001015E0">
      <w:pPr>
        <w:spacing w:after="0" w:line="240" w:lineRule="auto"/>
        <w:ind w:left="114" w:right="-20"/>
        <w:rPr>
          <w:rFonts w:ascii="Arial" w:eastAsia="Arial" w:hAnsi="Arial" w:cs="Arial"/>
          <w:color w:val="4D4D4F"/>
        </w:rPr>
      </w:pPr>
    </w:p>
    <w:p w14:paraId="4C3B1E50" w14:textId="77777777" w:rsidR="001015E0" w:rsidRDefault="001015E0">
      <w:pPr>
        <w:spacing w:after="0" w:line="240" w:lineRule="auto"/>
        <w:ind w:left="114" w:right="-20"/>
        <w:rPr>
          <w:rFonts w:ascii="Arial" w:eastAsia="Arial" w:hAnsi="Arial" w:cs="Arial"/>
          <w:color w:val="4D4D4F"/>
        </w:rPr>
      </w:pPr>
    </w:p>
    <w:p w14:paraId="1306C97E" w14:textId="77777777" w:rsidR="001015E0" w:rsidRDefault="001015E0">
      <w:pPr>
        <w:spacing w:after="0" w:line="240" w:lineRule="auto"/>
        <w:ind w:left="114" w:right="-20"/>
        <w:rPr>
          <w:rFonts w:ascii="Arial" w:eastAsia="Arial" w:hAnsi="Arial" w:cs="Arial"/>
          <w:color w:val="4D4D4F"/>
        </w:rPr>
      </w:pPr>
    </w:p>
    <w:p w14:paraId="066CA5DE" w14:textId="77777777" w:rsidR="001015E0" w:rsidRDefault="001015E0">
      <w:pPr>
        <w:spacing w:after="0" w:line="240" w:lineRule="auto"/>
        <w:ind w:left="114" w:right="-20"/>
        <w:rPr>
          <w:rFonts w:ascii="Arial" w:eastAsia="Arial" w:hAnsi="Arial" w:cs="Arial"/>
          <w:color w:val="4D4D4F"/>
        </w:rPr>
      </w:pPr>
    </w:p>
    <w:p w14:paraId="1123E6E1" w14:textId="77777777" w:rsidR="00322581" w:rsidRDefault="00322581">
      <w:pPr>
        <w:spacing w:after="0" w:line="240" w:lineRule="auto"/>
        <w:ind w:left="114" w:right="-20"/>
        <w:rPr>
          <w:rFonts w:ascii="Arial" w:eastAsia="Arial" w:hAnsi="Arial" w:cs="Arial"/>
          <w:color w:val="4D4D4F"/>
        </w:rPr>
      </w:pPr>
    </w:p>
    <w:p w14:paraId="295D062E" w14:textId="77777777" w:rsidR="00322581" w:rsidRDefault="00322581">
      <w:pPr>
        <w:spacing w:after="0" w:line="240" w:lineRule="auto"/>
        <w:ind w:left="114" w:right="-20"/>
        <w:rPr>
          <w:rFonts w:ascii="Arial" w:eastAsia="Arial" w:hAnsi="Arial" w:cs="Arial"/>
          <w:color w:val="4D4D4F"/>
        </w:rPr>
      </w:pPr>
    </w:p>
    <w:p w14:paraId="70C2CE47" w14:textId="77777777" w:rsidR="00322581" w:rsidRDefault="00322581">
      <w:pPr>
        <w:spacing w:after="0" w:line="240" w:lineRule="auto"/>
        <w:ind w:left="114" w:right="-20"/>
        <w:rPr>
          <w:rFonts w:ascii="Arial" w:eastAsia="Arial" w:hAnsi="Arial" w:cs="Arial"/>
          <w:color w:val="4D4D4F"/>
        </w:rPr>
      </w:pPr>
    </w:p>
    <w:p w14:paraId="7C706324" w14:textId="77777777" w:rsidR="00322581" w:rsidRDefault="00322581">
      <w:pPr>
        <w:spacing w:after="0" w:line="240" w:lineRule="auto"/>
        <w:ind w:left="114" w:right="-20"/>
        <w:rPr>
          <w:rFonts w:ascii="Arial" w:eastAsia="Arial" w:hAnsi="Arial" w:cs="Arial"/>
          <w:color w:val="4D4D4F"/>
        </w:rPr>
      </w:pPr>
    </w:p>
    <w:p w14:paraId="7E9844E6" w14:textId="77777777" w:rsidR="00322581" w:rsidRDefault="00322581">
      <w:pPr>
        <w:spacing w:after="0" w:line="240" w:lineRule="auto"/>
        <w:ind w:left="114" w:right="-20"/>
        <w:rPr>
          <w:rFonts w:ascii="Arial" w:eastAsia="Arial" w:hAnsi="Arial" w:cs="Arial"/>
          <w:color w:val="4D4D4F"/>
        </w:rPr>
      </w:pPr>
    </w:p>
    <w:p w14:paraId="32983041" w14:textId="77777777" w:rsidR="00322581" w:rsidRDefault="00322581">
      <w:pPr>
        <w:spacing w:after="0" w:line="240" w:lineRule="auto"/>
        <w:ind w:left="114" w:right="-20"/>
        <w:rPr>
          <w:rFonts w:ascii="Arial" w:eastAsia="Arial" w:hAnsi="Arial" w:cs="Arial"/>
          <w:color w:val="4D4D4F"/>
        </w:rPr>
      </w:pPr>
    </w:p>
    <w:p w14:paraId="137FFB78" w14:textId="77777777" w:rsidR="00322581" w:rsidRDefault="00322581">
      <w:pPr>
        <w:spacing w:after="0" w:line="240" w:lineRule="auto"/>
        <w:ind w:left="114" w:right="-20"/>
        <w:rPr>
          <w:rFonts w:ascii="Arial" w:eastAsia="Arial" w:hAnsi="Arial" w:cs="Arial"/>
          <w:color w:val="4D4D4F"/>
        </w:rPr>
      </w:pPr>
    </w:p>
    <w:p w14:paraId="2FDED382" w14:textId="77777777" w:rsidR="00322581" w:rsidRDefault="00322581">
      <w:pPr>
        <w:spacing w:after="0" w:line="240" w:lineRule="auto"/>
        <w:ind w:left="114" w:right="-20"/>
        <w:rPr>
          <w:rFonts w:ascii="Arial" w:eastAsia="Arial" w:hAnsi="Arial" w:cs="Arial"/>
          <w:color w:val="4D4D4F"/>
        </w:rPr>
      </w:pPr>
    </w:p>
    <w:p w14:paraId="1264DC73" w14:textId="77777777" w:rsidR="00322581" w:rsidRDefault="00322581">
      <w:pPr>
        <w:spacing w:after="0" w:line="240" w:lineRule="auto"/>
        <w:ind w:left="114" w:right="-20"/>
        <w:rPr>
          <w:rFonts w:ascii="Arial" w:eastAsia="Arial" w:hAnsi="Arial" w:cs="Arial"/>
          <w:color w:val="4D4D4F"/>
        </w:rPr>
      </w:pPr>
    </w:p>
    <w:p w14:paraId="4269E06C" w14:textId="77777777" w:rsidR="00322581" w:rsidRDefault="00322581">
      <w:pPr>
        <w:spacing w:after="0" w:line="240" w:lineRule="auto"/>
        <w:ind w:left="114" w:right="-20"/>
        <w:rPr>
          <w:rFonts w:ascii="Arial" w:eastAsia="Arial" w:hAnsi="Arial" w:cs="Arial"/>
          <w:color w:val="4D4D4F"/>
        </w:rPr>
      </w:pPr>
    </w:p>
    <w:p w14:paraId="72D3755C" w14:textId="77777777" w:rsidR="00322581" w:rsidRDefault="00322581">
      <w:pPr>
        <w:spacing w:after="0" w:line="240" w:lineRule="auto"/>
        <w:ind w:left="114" w:right="-20"/>
        <w:rPr>
          <w:rFonts w:ascii="Arial" w:eastAsia="Arial" w:hAnsi="Arial" w:cs="Arial"/>
          <w:color w:val="4D4D4F"/>
        </w:rPr>
      </w:pPr>
    </w:p>
    <w:p w14:paraId="354A3A5E" w14:textId="77777777" w:rsidR="00322581" w:rsidRDefault="00322581">
      <w:pPr>
        <w:spacing w:after="0" w:line="240" w:lineRule="auto"/>
        <w:ind w:left="114" w:right="-20"/>
        <w:rPr>
          <w:rFonts w:ascii="Arial" w:eastAsia="Arial" w:hAnsi="Arial" w:cs="Arial"/>
          <w:color w:val="4D4D4F"/>
        </w:rPr>
      </w:pPr>
    </w:p>
    <w:p w14:paraId="7BADEA02" w14:textId="77777777" w:rsidR="00322581" w:rsidRDefault="00322581">
      <w:pPr>
        <w:spacing w:after="0" w:line="240" w:lineRule="auto"/>
        <w:ind w:left="114" w:right="-20"/>
        <w:rPr>
          <w:rFonts w:ascii="Arial" w:eastAsia="Arial" w:hAnsi="Arial" w:cs="Arial"/>
          <w:color w:val="4D4D4F"/>
        </w:rPr>
      </w:pPr>
    </w:p>
    <w:p w14:paraId="59F741F7" w14:textId="77777777" w:rsidR="00322581" w:rsidRDefault="00322581">
      <w:pPr>
        <w:spacing w:after="0" w:line="240" w:lineRule="auto"/>
        <w:ind w:left="114" w:right="-20"/>
        <w:rPr>
          <w:rFonts w:ascii="Arial" w:eastAsia="Arial" w:hAnsi="Arial" w:cs="Arial"/>
          <w:color w:val="4D4D4F"/>
        </w:rPr>
      </w:pPr>
    </w:p>
    <w:p w14:paraId="7DAA88A7" w14:textId="77777777" w:rsidR="00322581" w:rsidRDefault="00322581">
      <w:pPr>
        <w:spacing w:after="0" w:line="240" w:lineRule="auto"/>
        <w:ind w:left="114" w:right="-20"/>
        <w:rPr>
          <w:rFonts w:ascii="Arial" w:eastAsia="Arial" w:hAnsi="Arial" w:cs="Arial"/>
          <w:color w:val="4D4D4F"/>
        </w:rPr>
      </w:pPr>
    </w:p>
    <w:p w14:paraId="12496C67" w14:textId="77777777" w:rsidR="00322581" w:rsidRDefault="00322581">
      <w:pPr>
        <w:spacing w:after="0" w:line="240" w:lineRule="auto"/>
        <w:ind w:left="114" w:right="-20"/>
        <w:rPr>
          <w:rFonts w:ascii="Arial" w:eastAsia="Arial" w:hAnsi="Arial" w:cs="Arial"/>
          <w:color w:val="4D4D4F"/>
        </w:rPr>
      </w:pPr>
    </w:p>
    <w:p w14:paraId="25D0571A" w14:textId="77777777" w:rsidR="00322581" w:rsidRDefault="00322581">
      <w:pPr>
        <w:spacing w:after="0" w:line="240" w:lineRule="auto"/>
        <w:ind w:left="114" w:right="-20"/>
        <w:rPr>
          <w:rFonts w:ascii="Arial" w:eastAsia="Arial" w:hAnsi="Arial" w:cs="Arial"/>
          <w:color w:val="4D4D4F"/>
        </w:rPr>
      </w:pPr>
    </w:p>
    <w:p w14:paraId="44AA5650" w14:textId="77777777" w:rsidR="00322581" w:rsidRDefault="00322581">
      <w:pPr>
        <w:spacing w:after="0" w:line="240" w:lineRule="auto"/>
        <w:ind w:left="114" w:right="-20"/>
        <w:rPr>
          <w:rFonts w:ascii="Arial" w:eastAsia="Arial" w:hAnsi="Arial" w:cs="Arial"/>
          <w:color w:val="4D4D4F"/>
        </w:rPr>
      </w:pPr>
    </w:p>
    <w:p w14:paraId="55BE1B0B" w14:textId="77777777" w:rsidR="00322581" w:rsidRDefault="00322581">
      <w:pPr>
        <w:spacing w:after="0" w:line="240" w:lineRule="auto"/>
        <w:ind w:left="114" w:right="-20"/>
        <w:rPr>
          <w:rFonts w:ascii="Arial" w:eastAsia="Arial" w:hAnsi="Arial" w:cs="Arial"/>
          <w:color w:val="4D4D4F"/>
        </w:rPr>
      </w:pPr>
    </w:p>
    <w:p w14:paraId="792068FB" w14:textId="77777777" w:rsidR="00322581" w:rsidRDefault="00322581">
      <w:pPr>
        <w:spacing w:after="0" w:line="240" w:lineRule="auto"/>
        <w:ind w:left="114" w:right="-20"/>
        <w:rPr>
          <w:rFonts w:ascii="Arial" w:eastAsia="Arial" w:hAnsi="Arial" w:cs="Arial"/>
          <w:color w:val="4D4D4F"/>
        </w:rPr>
      </w:pPr>
    </w:p>
    <w:p w14:paraId="6B686C47" w14:textId="77777777" w:rsidR="00322581" w:rsidRDefault="00322581">
      <w:pPr>
        <w:spacing w:after="0" w:line="240" w:lineRule="auto"/>
        <w:ind w:left="114" w:right="-20"/>
        <w:rPr>
          <w:rFonts w:ascii="Arial" w:eastAsia="Arial" w:hAnsi="Arial" w:cs="Arial"/>
          <w:color w:val="4D4D4F"/>
        </w:rPr>
      </w:pPr>
    </w:p>
    <w:p w14:paraId="200ECCD1" w14:textId="77777777" w:rsidR="00322581" w:rsidRDefault="00322581">
      <w:pPr>
        <w:spacing w:after="0" w:line="240" w:lineRule="auto"/>
        <w:ind w:left="114" w:right="-20"/>
        <w:rPr>
          <w:rFonts w:ascii="Arial" w:eastAsia="Arial" w:hAnsi="Arial" w:cs="Arial"/>
          <w:color w:val="4D4D4F"/>
        </w:rPr>
      </w:pPr>
    </w:p>
    <w:p w14:paraId="72D42C7D" w14:textId="77777777" w:rsidR="00932874" w:rsidRDefault="00932874">
      <w:pPr>
        <w:spacing w:after="0"/>
      </w:pPr>
    </w:p>
    <w:p w14:paraId="50BBAAF3" w14:textId="77777777" w:rsidR="001015E0" w:rsidRDefault="001015E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3748"/>
        <w:gridCol w:w="3070"/>
      </w:tblGrid>
      <w:tr w:rsidR="001015E0" w14:paraId="30FFD3EC" w14:textId="77777777" w:rsidTr="001015E0">
        <w:tc>
          <w:tcPr>
            <w:tcW w:w="3365" w:type="dxa"/>
            <w:vAlign w:val="bottom"/>
          </w:tcPr>
          <w:p w14:paraId="4A9A09B6" w14:textId="77777777" w:rsidR="001015E0" w:rsidRDefault="001015E0">
            <w:r>
              <w:rPr>
                <w:noProof/>
                <w:lang w:val="en-GB" w:eastAsia="en-GB"/>
              </w:rPr>
              <w:drawing>
                <wp:inline distT="0" distB="0" distL="0" distR="0" wp14:anchorId="3D50A319" wp14:editId="598DC68E">
                  <wp:extent cx="1714500" cy="424016"/>
                  <wp:effectExtent l="0" t="0" r="0" b="0"/>
                  <wp:docPr id="2" name="Picture 2" descr="The Char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Charity Commis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3849" cy="436221"/>
                          </a:xfrm>
                          <a:prstGeom prst="rect">
                            <a:avLst/>
                          </a:prstGeom>
                          <a:noFill/>
                          <a:ln>
                            <a:noFill/>
                          </a:ln>
                        </pic:spPr>
                      </pic:pic>
                    </a:graphicData>
                  </a:graphic>
                </wp:inline>
              </w:drawing>
            </w:r>
          </w:p>
        </w:tc>
        <w:tc>
          <w:tcPr>
            <w:tcW w:w="3365" w:type="dxa"/>
            <w:vAlign w:val="bottom"/>
          </w:tcPr>
          <w:p w14:paraId="1273785E" w14:textId="77777777" w:rsidR="001015E0" w:rsidRDefault="001015E0">
            <w:r>
              <w:rPr>
                <w:noProof/>
                <w:lang w:val="en-GB" w:eastAsia="en-GB"/>
              </w:rPr>
              <w:drawing>
                <wp:inline distT="0" distB="0" distL="0" distR="0" wp14:anchorId="2F071293" wp14:editId="3D6054D7">
                  <wp:extent cx="2243441"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pfa_corporate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1397" cy="390661"/>
                          </a:xfrm>
                          <a:prstGeom prst="rect">
                            <a:avLst/>
                          </a:prstGeom>
                        </pic:spPr>
                      </pic:pic>
                    </a:graphicData>
                  </a:graphic>
                </wp:inline>
              </w:drawing>
            </w:r>
          </w:p>
        </w:tc>
        <w:tc>
          <w:tcPr>
            <w:tcW w:w="3366" w:type="dxa"/>
            <w:vAlign w:val="bottom"/>
          </w:tcPr>
          <w:p w14:paraId="72DD5B2D" w14:textId="77777777" w:rsidR="001015E0" w:rsidRDefault="001015E0">
            <w:r>
              <w:rPr>
                <w:noProof/>
                <w:lang w:val="en-GB" w:eastAsia="en-GB"/>
              </w:rPr>
              <w:drawing>
                <wp:inline distT="0" distB="0" distL="0" distR="0" wp14:anchorId="33A381DD" wp14:editId="22B9D93F">
                  <wp:extent cx="1720850" cy="344170"/>
                  <wp:effectExtent l="0" t="0" r="0" b="0"/>
                  <wp:docPr id="4" name="Picture 4" descr="Image result for o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osc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0850" cy="344170"/>
                          </a:xfrm>
                          <a:prstGeom prst="rect">
                            <a:avLst/>
                          </a:prstGeom>
                          <a:noFill/>
                          <a:ln>
                            <a:noFill/>
                          </a:ln>
                        </pic:spPr>
                      </pic:pic>
                    </a:graphicData>
                  </a:graphic>
                </wp:inline>
              </w:drawing>
            </w:r>
          </w:p>
        </w:tc>
      </w:tr>
    </w:tbl>
    <w:p w14:paraId="6171C0E6" w14:textId="77777777" w:rsidR="001015E0" w:rsidRDefault="001015E0">
      <w:pPr>
        <w:spacing w:after="0"/>
        <w:sectPr w:rsidR="001015E0">
          <w:type w:val="continuous"/>
          <w:pgSz w:w="11920" w:h="16840"/>
          <w:pgMar w:top="1320" w:right="1020" w:bottom="280" w:left="1020" w:header="720" w:footer="720" w:gutter="0"/>
          <w:cols w:space="720"/>
        </w:sectPr>
      </w:pPr>
    </w:p>
    <w:p w14:paraId="64023249" w14:textId="77777777" w:rsidR="00932874" w:rsidRDefault="00932874">
      <w:pPr>
        <w:spacing w:after="0" w:line="200" w:lineRule="exact"/>
        <w:rPr>
          <w:sz w:val="20"/>
          <w:szCs w:val="20"/>
        </w:rPr>
      </w:pPr>
    </w:p>
    <w:p w14:paraId="43500897" w14:textId="77777777" w:rsidR="00932874" w:rsidRDefault="00932874">
      <w:pPr>
        <w:spacing w:after="0" w:line="200" w:lineRule="exact"/>
        <w:rPr>
          <w:sz w:val="20"/>
          <w:szCs w:val="20"/>
        </w:rPr>
      </w:pPr>
    </w:p>
    <w:p w14:paraId="70665C2C" w14:textId="77777777" w:rsidR="00932874" w:rsidRDefault="00932874">
      <w:pPr>
        <w:spacing w:after="0" w:line="200" w:lineRule="exact"/>
        <w:rPr>
          <w:sz w:val="20"/>
          <w:szCs w:val="20"/>
        </w:rPr>
      </w:pPr>
    </w:p>
    <w:p w14:paraId="21EB0397" w14:textId="77777777" w:rsidR="00932874" w:rsidRDefault="00322581">
      <w:pPr>
        <w:spacing w:before="19" w:after="0" w:line="220" w:lineRule="exact"/>
      </w:pPr>
      <w:r>
        <w:rPr>
          <w:noProof/>
          <w:lang w:val="en-GB" w:eastAsia="en-GB"/>
        </w:rPr>
        <mc:AlternateContent>
          <mc:Choice Requires="wpg">
            <w:drawing>
              <wp:anchor distT="0" distB="0" distL="114300" distR="114300" simplePos="0" relativeHeight="251655168" behindDoc="1" locked="0" layoutInCell="1" allowOverlap="1" wp14:anchorId="4ED0172F" wp14:editId="201642FD">
                <wp:simplePos x="0" y="0"/>
                <wp:positionH relativeFrom="page">
                  <wp:posOffset>902525</wp:posOffset>
                </wp:positionH>
                <wp:positionV relativeFrom="page">
                  <wp:posOffset>890649</wp:posOffset>
                </wp:positionV>
                <wp:extent cx="5824142" cy="4928260"/>
                <wp:effectExtent l="0" t="0" r="24765" b="5715"/>
                <wp:wrapNone/>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4142" cy="4928260"/>
                          <a:chOff x="1412" y="1412"/>
                          <a:chExt cx="9071" cy="5817"/>
                        </a:xfrm>
                      </wpg:grpSpPr>
                      <wpg:grpSp>
                        <wpg:cNvPr id="22" name="Group 23"/>
                        <wpg:cNvGrpSpPr>
                          <a:grpSpLocks/>
                        </wpg:cNvGrpSpPr>
                        <wpg:grpSpPr bwMode="auto">
                          <a:xfrm>
                            <a:off x="1422" y="1422"/>
                            <a:ext cx="9051" cy="5797"/>
                            <a:chOff x="1422" y="1422"/>
                            <a:chExt cx="9051" cy="5797"/>
                          </a:xfrm>
                        </wpg:grpSpPr>
                        <wps:wsp>
                          <wps:cNvPr id="23" name="Freeform 24"/>
                          <wps:cNvSpPr>
                            <a:spLocks/>
                          </wps:cNvSpPr>
                          <wps:spPr bwMode="auto">
                            <a:xfrm>
                              <a:off x="1422" y="1422"/>
                              <a:ext cx="9051" cy="5797"/>
                            </a:xfrm>
                            <a:custGeom>
                              <a:avLst/>
                              <a:gdLst>
                                <a:gd name="T0" fmla="+- 0 1422 1422"/>
                                <a:gd name="T1" fmla="*/ T0 w 9051"/>
                                <a:gd name="T2" fmla="+- 0 1422 1422"/>
                                <a:gd name="T3" fmla="*/ 1422 h 5797"/>
                                <a:gd name="T4" fmla="+- 0 10473 1422"/>
                                <a:gd name="T5" fmla="*/ T4 w 9051"/>
                                <a:gd name="T6" fmla="+- 0 1422 1422"/>
                                <a:gd name="T7" fmla="*/ 1422 h 5797"/>
                                <a:gd name="T8" fmla="+- 0 10473 1422"/>
                                <a:gd name="T9" fmla="*/ T8 w 9051"/>
                                <a:gd name="T10" fmla="+- 0 7219 1422"/>
                                <a:gd name="T11" fmla="*/ 7219 h 5797"/>
                                <a:gd name="T12" fmla="+- 0 1422 1422"/>
                                <a:gd name="T13" fmla="*/ T12 w 9051"/>
                                <a:gd name="T14" fmla="+- 0 7219 1422"/>
                                <a:gd name="T15" fmla="*/ 7219 h 5797"/>
                                <a:gd name="T16" fmla="+- 0 1422 1422"/>
                                <a:gd name="T17" fmla="*/ T16 w 9051"/>
                                <a:gd name="T18" fmla="+- 0 1422 1422"/>
                                <a:gd name="T19" fmla="*/ 1422 h 5797"/>
                              </a:gdLst>
                              <a:ahLst/>
                              <a:cxnLst>
                                <a:cxn ang="0">
                                  <a:pos x="T1" y="T3"/>
                                </a:cxn>
                                <a:cxn ang="0">
                                  <a:pos x="T5" y="T7"/>
                                </a:cxn>
                                <a:cxn ang="0">
                                  <a:pos x="T9" y="T11"/>
                                </a:cxn>
                                <a:cxn ang="0">
                                  <a:pos x="T13" y="T15"/>
                                </a:cxn>
                                <a:cxn ang="0">
                                  <a:pos x="T17" y="T19"/>
                                </a:cxn>
                              </a:cxnLst>
                              <a:rect l="0" t="0" r="r" b="b"/>
                              <a:pathLst>
                                <a:path w="9051" h="5797">
                                  <a:moveTo>
                                    <a:pt x="0" y="0"/>
                                  </a:moveTo>
                                  <a:lnTo>
                                    <a:pt x="9051" y="0"/>
                                  </a:lnTo>
                                  <a:lnTo>
                                    <a:pt x="9051" y="5797"/>
                                  </a:lnTo>
                                  <a:lnTo>
                                    <a:pt x="0" y="5797"/>
                                  </a:lnTo>
                                  <a:lnTo>
                                    <a:pt x="0" y="0"/>
                                  </a:lnTo>
                                </a:path>
                              </a:pathLst>
                            </a:custGeom>
                            <a:solidFill>
                              <a:srgbClr val="F3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1"/>
                        <wpg:cNvGrpSpPr>
                          <a:grpSpLocks/>
                        </wpg:cNvGrpSpPr>
                        <wpg:grpSpPr bwMode="auto">
                          <a:xfrm>
                            <a:off x="1417" y="1422"/>
                            <a:ext cx="9061" cy="2"/>
                            <a:chOff x="1417" y="1422"/>
                            <a:chExt cx="9061" cy="2"/>
                          </a:xfrm>
                        </wpg:grpSpPr>
                        <wps:wsp>
                          <wps:cNvPr id="25" name="Freeform 22"/>
                          <wps:cNvSpPr>
                            <a:spLocks/>
                          </wps:cNvSpPr>
                          <wps:spPr bwMode="auto">
                            <a:xfrm>
                              <a:off x="1417" y="1422"/>
                              <a:ext cx="9061" cy="2"/>
                            </a:xfrm>
                            <a:custGeom>
                              <a:avLst/>
                              <a:gdLst>
                                <a:gd name="T0" fmla="+- 0 1417 1417"/>
                                <a:gd name="T1" fmla="*/ T0 w 9061"/>
                                <a:gd name="T2" fmla="+- 0 10478 1417"/>
                                <a:gd name="T3" fmla="*/ T2 w 9061"/>
                              </a:gdLst>
                              <a:ahLst/>
                              <a:cxnLst>
                                <a:cxn ang="0">
                                  <a:pos x="T1" y="0"/>
                                </a:cxn>
                                <a:cxn ang="0">
                                  <a:pos x="T3" y="0"/>
                                </a:cxn>
                              </a:cxnLst>
                              <a:rect l="0" t="0" r="r" b="b"/>
                              <a:pathLst>
                                <a:path w="9061">
                                  <a:moveTo>
                                    <a:pt x="0" y="0"/>
                                  </a:moveTo>
                                  <a:lnTo>
                                    <a:pt x="9061"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9"/>
                        <wpg:cNvGrpSpPr>
                          <a:grpSpLocks/>
                        </wpg:cNvGrpSpPr>
                        <wpg:grpSpPr bwMode="auto">
                          <a:xfrm>
                            <a:off x="1422" y="1427"/>
                            <a:ext cx="2" cy="5787"/>
                            <a:chOff x="1422" y="1427"/>
                            <a:chExt cx="2" cy="5787"/>
                          </a:xfrm>
                        </wpg:grpSpPr>
                        <wps:wsp>
                          <wps:cNvPr id="27" name="Freeform 20"/>
                          <wps:cNvSpPr>
                            <a:spLocks/>
                          </wps:cNvSpPr>
                          <wps:spPr bwMode="auto">
                            <a:xfrm>
                              <a:off x="1422" y="1427"/>
                              <a:ext cx="2" cy="5787"/>
                            </a:xfrm>
                            <a:custGeom>
                              <a:avLst/>
                              <a:gdLst>
                                <a:gd name="T0" fmla="+- 0 7214 1427"/>
                                <a:gd name="T1" fmla="*/ 7214 h 5787"/>
                                <a:gd name="T2" fmla="+- 0 1427 1427"/>
                                <a:gd name="T3" fmla="*/ 1427 h 5787"/>
                              </a:gdLst>
                              <a:ahLst/>
                              <a:cxnLst>
                                <a:cxn ang="0">
                                  <a:pos x="0" y="T1"/>
                                </a:cxn>
                                <a:cxn ang="0">
                                  <a:pos x="0" y="T3"/>
                                </a:cxn>
                              </a:cxnLst>
                              <a:rect l="0" t="0" r="r" b="b"/>
                              <a:pathLst>
                                <a:path h="5787">
                                  <a:moveTo>
                                    <a:pt x="0" y="5787"/>
                                  </a:moveTo>
                                  <a:lnTo>
                                    <a:pt x="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7"/>
                        <wpg:cNvGrpSpPr>
                          <a:grpSpLocks/>
                        </wpg:cNvGrpSpPr>
                        <wpg:grpSpPr bwMode="auto">
                          <a:xfrm>
                            <a:off x="10473" y="1427"/>
                            <a:ext cx="2" cy="5787"/>
                            <a:chOff x="10473" y="1427"/>
                            <a:chExt cx="2" cy="5787"/>
                          </a:xfrm>
                        </wpg:grpSpPr>
                        <wps:wsp>
                          <wps:cNvPr id="29" name="Freeform 18"/>
                          <wps:cNvSpPr>
                            <a:spLocks/>
                          </wps:cNvSpPr>
                          <wps:spPr bwMode="auto">
                            <a:xfrm>
                              <a:off x="10473" y="1427"/>
                              <a:ext cx="2" cy="5787"/>
                            </a:xfrm>
                            <a:custGeom>
                              <a:avLst/>
                              <a:gdLst>
                                <a:gd name="T0" fmla="+- 0 7214 1427"/>
                                <a:gd name="T1" fmla="*/ 7214 h 5787"/>
                                <a:gd name="T2" fmla="+- 0 1427 1427"/>
                                <a:gd name="T3" fmla="*/ 1427 h 5787"/>
                              </a:gdLst>
                              <a:ahLst/>
                              <a:cxnLst>
                                <a:cxn ang="0">
                                  <a:pos x="0" y="T1"/>
                                </a:cxn>
                                <a:cxn ang="0">
                                  <a:pos x="0" y="T3"/>
                                </a:cxn>
                              </a:cxnLst>
                              <a:rect l="0" t="0" r="r" b="b"/>
                              <a:pathLst>
                                <a:path h="5787">
                                  <a:moveTo>
                                    <a:pt x="0" y="5787"/>
                                  </a:moveTo>
                                  <a:lnTo>
                                    <a:pt x="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5"/>
                        <wpg:cNvGrpSpPr>
                          <a:grpSpLocks/>
                        </wpg:cNvGrpSpPr>
                        <wpg:grpSpPr bwMode="auto">
                          <a:xfrm>
                            <a:off x="1417" y="7219"/>
                            <a:ext cx="9061" cy="2"/>
                            <a:chOff x="1417" y="7219"/>
                            <a:chExt cx="9061" cy="2"/>
                          </a:xfrm>
                        </wpg:grpSpPr>
                        <wps:wsp>
                          <wps:cNvPr id="31" name="Freeform 16"/>
                          <wps:cNvSpPr>
                            <a:spLocks/>
                          </wps:cNvSpPr>
                          <wps:spPr bwMode="auto">
                            <a:xfrm>
                              <a:off x="1417" y="7219"/>
                              <a:ext cx="9061" cy="2"/>
                            </a:xfrm>
                            <a:custGeom>
                              <a:avLst/>
                              <a:gdLst>
                                <a:gd name="T0" fmla="+- 0 1417 1417"/>
                                <a:gd name="T1" fmla="*/ T0 w 9061"/>
                                <a:gd name="T2" fmla="+- 0 10478 1417"/>
                                <a:gd name="T3" fmla="*/ T2 w 9061"/>
                              </a:gdLst>
                              <a:ahLst/>
                              <a:cxnLst>
                                <a:cxn ang="0">
                                  <a:pos x="T1" y="0"/>
                                </a:cxn>
                                <a:cxn ang="0">
                                  <a:pos x="T3" y="0"/>
                                </a:cxn>
                              </a:cxnLst>
                              <a:rect l="0" t="0" r="r" b="b"/>
                              <a:pathLst>
                                <a:path w="9061">
                                  <a:moveTo>
                                    <a:pt x="0" y="0"/>
                                  </a:moveTo>
                                  <a:lnTo>
                                    <a:pt x="9061"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801B7E" id="Group 14" o:spid="_x0000_s1026" style="position:absolute;margin-left:71.05pt;margin-top:70.15pt;width:458.6pt;height:388.05pt;z-index:-251661312;mso-position-horizontal-relative:page;mso-position-vertical-relative:page" coordorigin="1412,1412" coordsize="9071,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">
                <v:group id="Group 23" o:spid="_x0000_s1027" style="position:absolute;left:1422;top:1422;width:9051;height:5797" coordorigin="1422,1422" coordsize="9051,5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028" style="position:absolute;left:1422;top:1422;width:9051;height:5797;visibility:visible;mso-wrap-style:square;v-text-anchor:top" coordsize="9051,5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SJpsQA&#10;AADbAAAADwAAAGRycy9kb3ducmV2LnhtbESPT2vCQBTE74V+h+UVvDWbKoiNrtIKijc1VfH4yL78&#10;sdm3IbvR9Nt3BcHjMDO/YWaL3tTiSq2rLCv4iGIQxJnVFRcKDj+r9wkI55E11pZJwR85WMxfX2aY&#10;aHvjPV1TX4gAYZeggtL7JpHSZSUZdJFtiIOX29agD7ItpG7xFuCmlsM4HkuDFYeFEhtalpT9pp1R&#10;sNxm+frzcvzOU3PeV/WOTuuuU2rw1n9NQXjq/TP8aG+0guEI7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UiabEAAAA2wAAAA8AAAAAAAAAAAAAAAAAmAIAAGRycy9k&#10;b3ducmV2LnhtbFBLBQYAAAAABAAEAPUAAACJAwAAAAA=&#10;" path="m,l9051,r,5797l,5797,,e" fillcolor="#f3f4f4" stroked="f">
                    <v:path arrowok="t" o:connecttype="custom" o:connectlocs="0,1422;9051,1422;9051,7219;0,7219;0,1422" o:connectangles="0,0,0,0,0"/>
                  </v:shape>
                </v:group>
                <v:group id="Group 21" o:spid="_x0000_s1029" style="position:absolute;left:1417;top:1422;width:9061;height:2" coordorigin="1417,1422" coordsize="90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2" o:spid="_x0000_s1030" style="position:absolute;left:1417;top:1422;width:9061;height:2;visibility:visible;mso-wrap-style:square;v-text-anchor:top" coordsize="9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UMvMQA&#10;AADbAAAADwAAAGRycy9kb3ducmV2LnhtbESP0WrCQBRE3wX/YblC33Sj0FZiVqlCa0EsqPmAS/aa&#10;jc3ejdltTP/eFQp9HGbmDJOteluLjlpfOVYwnSQgiAunKy4V5Kf38RyED8gaa8ek4Jc8rJbDQYap&#10;djc+UHcMpYgQ9ikqMCE0qZS+MGTRT1xDHL2zay2GKNtS6hZvEW5rOUuSF2mx4rhgsKGNoeL7+GMV&#10;yAvut911vnPX9etHXm8PX5VZK/U06t8WIAL14T/81/7UCmbP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FDLzEAAAA2wAAAA8AAAAAAAAAAAAAAAAAmAIAAGRycy9k&#10;b3ducmV2LnhtbFBLBQYAAAAABAAEAPUAAACJAwAAAAA=&#10;" path="m,l9061,e" filled="f" strokecolor="#d1d3d4" strokeweight=".5pt">
                    <v:path arrowok="t" o:connecttype="custom" o:connectlocs="0,0;9061,0" o:connectangles="0,0"/>
                  </v:shape>
                </v:group>
                <v:group id="Group 19" o:spid="_x0000_s1031" style="position:absolute;left:1422;top:1427;width:2;height:5787" coordorigin="1422,1427" coordsize="2,5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0" o:spid="_x0000_s1032" style="position:absolute;left:1422;top:1427;width:2;height:5787;visibility:visible;mso-wrap-style:square;v-text-anchor:top" coordsize="2,5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BkMQA&#10;AADbAAAADwAAAGRycy9kb3ducmV2LnhtbESPQWvCQBSE7wX/w/IEb3WjgimpqwRpQTCHNubS2yP7&#10;TEKzb0N2Ncm/d4VCj8PMfMPsDqNpxZ1611hWsFpGIIhLqxuuFBSXz9c3EM4ja2wtk4KJHBz2s5cd&#10;JtoO/E333FciQNglqKD2vkukdGVNBt3SdsTBu9reoA+yr6TucQhw08p1FG2lwYbDQo0dHWsqf/Ob&#10;UdCct+mm+PqZbmn8EVN2zWggp9RiPqbvIDyN/j/81z5pBesYnl/CD5D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cwZDEAAAA2wAAAA8AAAAAAAAAAAAAAAAAmAIAAGRycy9k&#10;b3ducmV2LnhtbFBLBQYAAAAABAAEAPUAAACJAwAAAAA=&#10;" path="m,5787l,e" filled="f" strokecolor="#d1d3d4" strokeweight=".5pt">
                    <v:path arrowok="t" o:connecttype="custom" o:connectlocs="0,7214;0,1427" o:connectangles="0,0"/>
                  </v:shape>
                </v:group>
                <v:group id="Group 17" o:spid="_x0000_s1033" style="position:absolute;left:10473;top:1427;width:2;height:5787" coordorigin="10473,1427" coordsize="2,5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8" o:spid="_x0000_s1034" style="position:absolute;left:10473;top:1427;width:2;height:5787;visibility:visible;mso-wrap-style:square;v-text-anchor:top" coordsize="2,5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ecQA&#10;AADbAAAADwAAAGRycy9kb3ducmV2LnhtbESPT2vCQBTE7wW/w/KE3upGC7GmrhLEQkEPrebS2yP7&#10;8gezb0N2Ncm3dwWhx2FmfsOst4NpxI06V1tWMJ9FIIhzq2suFWTnr7cPEM4ja2wsk4KRHGw3k5c1&#10;Jtr2/Eu3ky9FgLBLUEHlfZtI6fKKDLqZbYmDV9jOoA+yK6XusA9w08hFFMXSYM1hocKWdhXll9PV&#10;KKgPcfqe/fyN13S5X9KxOFJPTqnX6ZB+gvA0+P/ws/2tFSxW8PgSf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P8HnEAAAA2wAAAA8AAAAAAAAAAAAAAAAAmAIAAGRycy9k&#10;b3ducmV2LnhtbFBLBQYAAAAABAAEAPUAAACJAwAAAAA=&#10;" path="m,5787l,e" filled="f" strokecolor="#d1d3d4" strokeweight=".5pt">
                    <v:path arrowok="t" o:connecttype="custom" o:connectlocs="0,7214;0,1427" o:connectangles="0,0"/>
                  </v:shape>
                </v:group>
                <v:group id="Group 15" o:spid="_x0000_s1035" style="position:absolute;left:1417;top:7219;width:9061;height:2" coordorigin="1417,7219" coordsize="90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6" o:spid="_x0000_s1036" style="position:absolute;left:1417;top:7219;width:9061;height:2;visibility:visible;mso-wrap-style:square;v-text-anchor:top" coordsize="9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cYsQA&#10;AADbAAAADwAAAGRycy9kb3ducmV2LnhtbESP3WrCQBSE7wXfYTlC73QTC61EVzFCa6FY8OcBDtlj&#10;Npo9G7PbmL59Vyj0cpiZb5jFqre16Kj1lWMF6SQBQVw4XXGp4HR8G89A+ICssXZMCn7Iw2o5HCww&#10;0+7Oe+oOoRQRwj5DBSaEJpPSF4Ys+olriKN3dq3FEGVbSt3iPcJtLadJ8iItVhwXDDa0MVRcD99W&#10;gbzgbtvdZp/ulr++n+rt/qsyuVJPo349BxGoD//hv/aHVvCcwuN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nnGLEAAAA2wAAAA8AAAAAAAAAAAAAAAAAmAIAAGRycy9k&#10;b3ducmV2LnhtbFBLBQYAAAAABAAEAPUAAACJAwAAAAA=&#10;" path="m,l9061,e" filled="f" strokecolor="#d1d3d4" strokeweight=".5pt">
                    <v:path arrowok="t" o:connecttype="custom" o:connectlocs="0,0;9061,0" o:connectangles="0,0"/>
                  </v:shape>
                </v:group>
                <w10:wrap anchorx="page" anchory="page"/>
              </v:group>
            </w:pict>
          </mc:Fallback>
        </mc:AlternateContent>
      </w:r>
    </w:p>
    <w:p w14:paraId="4FF57838" w14:textId="77777777" w:rsidR="00932874" w:rsidRDefault="0095190E" w:rsidP="00322581">
      <w:pPr>
        <w:tabs>
          <w:tab w:val="left" w:pos="7219"/>
        </w:tabs>
        <w:spacing w:before="29" w:after="0" w:line="240" w:lineRule="auto"/>
        <w:ind w:left="426" w:right="-20"/>
        <w:rPr>
          <w:rFonts w:ascii="Arial" w:eastAsia="Arial" w:hAnsi="Arial" w:cs="Arial"/>
          <w:sz w:val="24"/>
          <w:szCs w:val="24"/>
        </w:rPr>
      </w:pPr>
      <w:r>
        <w:rPr>
          <w:rFonts w:ascii="Arial" w:eastAsia="Arial" w:hAnsi="Arial" w:cs="Arial"/>
          <w:b/>
          <w:bCs/>
          <w:color w:val="4D4D4F"/>
          <w:spacing w:val="-1"/>
          <w:sz w:val="24"/>
          <w:szCs w:val="24"/>
        </w:rPr>
        <w:t>Ba</w:t>
      </w:r>
      <w:r>
        <w:rPr>
          <w:rFonts w:ascii="Arial" w:eastAsia="Arial" w:hAnsi="Arial" w:cs="Arial"/>
          <w:b/>
          <w:bCs/>
          <w:color w:val="4D4D4F"/>
          <w:spacing w:val="1"/>
          <w:sz w:val="24"/>
          <w:szCs w:val="24"/>
        </w:rPr>
        <w:t>c</w:t>
      </w:r>
      <w:r>
        <w:rPr>
          <w:rFonts w:ascii="Arial" w:eastAsia="Arial" w:hAnsi="Arial" w:cs="Arial"/>
          <w:b/>
          <w:bCs/>
          <w:color w:val="4D4D4F"/>
          <w:spacing w:val="-5"/>
          <w:sz w:val="24"/>
          <w:szCs w:val="24"/>
        </w:rPr>
        <w:t>k</w:t>
      </w:r>
      <w:r>
        <w:rPr>
          <w:rFonts w:ascii="Arial" w:eastAsia="Arial" w:hAnsi="Arial" w:cs="Arial"/>
          <w:b/>
          <w:bCs/>
          <w:color w:val="4D4D4F"/>
          <w:sz w:val="24"/>
          <w:szCs w:val="24"/>
        </w:rPr>
        <w:t>g</w:t>
      </w:r>
      <w:r>
        <w:rPr>
          <w:rFonts w:ascii="Arial" w:eastAsia="Arial" w:hAnsi="Arial" w:cs="Arial"/>
          <w:b/>
          <w:bCs/>
          <w:color w:val="4D4D4F"/>
          <w:spacing w:val="-1"/>
          <w:sz w:val="24"/>
          <w:szCs w:val="24"/>
        </w:rPr>
        <w:t>r</w:t>
      </w:r>
      <w:r>
        <w:rPr>
          <w:rFonts w:ascii="Arial" w:eastAsia="Arial" w:hAnsi="Arial" w:cs="Arial"/>
          <w:b/>
          <w:bCs/>
          <w:color w:val="4D4D4F"/>
          <w:sz w:val="24"/>
          <w:szCs w:val="24"/>
        </w:rPr>
        <w:t>o</w:t>
      </w:r>
      <w:r>
        <w:rPr>
          <w:rFonts w:ascii="Arial" w:eastAsia="Arial" w:hAnsi="Arial" w:cs="Arial"/>
          <w:b/>
          <w:bCs/>
          <w:color w:val="4D4D4F"/>
          <w:spacing w:val="-1"/>
          <w:sz w:val="24"/>
          <w:szCs w:val="24"/>
        </w:rPr>
        <w:t>u</w:t>
      </w:r>
      <w:r>
        <w:rPr>
          <w:rFonts w:ascii="Arial" w:eastAsia="Arial" w:hAnsi="Arial" w:cs="Arial"/>
          <w:b/>
          <w:bCs/>
          <w:color w:val="4D4D4F"/>
          <w:sz w:val="24"/>
          <w:szCs w:val="24"/>
        </w:rPr>
        <w:t>nd</w:t>
      </w:r>
      <w:r w:rsidR="00322581">
        <w:rPr>
          <w:rFonts w:ascii="Arial" w:eastAsia="Arial" w:hAnsi="Arial" w:cs="Arial"/>
          <w:b/>
          <w:bCs/>
          <w:color w:val="4D4D4F"/>
          <w:sz w:val="24"/>
          <w:szCs w:val="24"/>
        </w:rPr>
        <w:tab/>
      </w:r>
    </w:p>
    <w:p w14:paraId="1711D74F" w14:textId="77777777" w:rsidR="00932874" w:rsidRDefault="00932874">
      <w:pPr>
        <w:spacing w:before="6" w:after="0" w:line="150" w:lineRule="exact"/>
        <w:rPr>
          <w:sz w:val="15"/>
          <w:szCs w:val="15"/>
        </w:rPr>
      </w:pPr>
    </w:p>
    <w:p w14:paraId="227DB8CF" w14:textId="77777777" w:rsidR="00322581" w:rsidRDefault="00322581">
      <w:pPr>
        <w:spacing w:after="0" w:line="284" w:lineRule="auto"/>
        <w:ind w:left="426" w:right="224"/>
        <w:rPr>
          <w:rFonts w:ascii="Arial" w:eastAsia="Arial" w:hAnsi="Arial" w:cs="Arial"/>
          <w:color w:val="4D4D4F"/>
          <w:spacing w:val="3"/>
        </w:rPr>
      </w:pPr>
      <w:r>
        <w:rPr>
          <w:rFonts w:ascii="Arial" w:eastAsia="Arial" w:hAnsi="Arial" w:cs="Arial"/>
          <w:color w:val="4D4D4F"/>
          <w:spacing w:val="3"/>
        </w:rPr>
        <w:t xml:space="preserve">The Charity Commission for England and Wales and the Office of the Scottish Charity Regulator are the </w:t>
      </w:r>
      <w:r w:rsidRPr="00322581">
        <w:rPr>
          <w:rFonts w:ascii="Arial" w:eastAsia="Arial" w:hAnsi="Arial" w:cs="Arial"/>
          <w:color w:val="4D4D4F"/>
          <w:spacing w:val="3"/>
        </w:rPr>
        <w:t>joint SORP-making body for charities and as such is required by the Financial Reporting Council (FRC) (Policy on Developing Statements of Recommended Practice (SORPs)) to keep the Statement of Recommended Practice (SORP) under review.</w:t>
      </w:r>
    </w:p>
    <w:p w14:paraId="4C279F23" w14:textId="77777777" w:rsidR="00322581" w:rsidRDefault="00322581" w:rsidP="00322581">
      <w:pPr>
        <w:spacing w:before="5" w:after="0" w:line="110" w:lineRule="exact"/>
        <w:rPr>
          <w:sz w:val="11"/>
          <w:szCs w:val="11"/>
        </w:rPr>
      </w:pPr>
    </w:p>
    <w:p w14:paraId="2710D590" w14:textId="6896AB72" w:rsidR="00322581" w:rsidRDefault="00322581" w:rsidP="00322581">
      <w:pPr>
        <w:spacing w:after="0" w:line="284" w:lineRule="auto"/>
        <w:ind w:left="426" w:right="224"/>
        <w:rPr>
          <w:rFonts w:ascii="Arial" w:eastAsia="Arial" w:hAnsi="Arial" w:cs="Arial"/>
          <w:color w:val="4D4D4F"/>
          <w:spacing w:val="3"/>
        </w:rPr>
      </w:pPr>
      <w:r>
        <w:rPr>
          <w:rFonts w:ascii="Arial" w:eastAsia="Arial" w:hAnsi="Arial" w:cs="Arial"/>
          <w:color w:val="4D4D4F"/>
        </w:rPr>
        <w:t xml:space="preserve">As part of this work, the </w:t>
      </w:r>
      <w:r w:rsidRPr="00322581">
        <w:rPr>
          <w:rFonts w:ascii="Arial" w:eastAsia="Arial" w:hAnsi="Arial" w:cs="Arial"/>
          <w:color w:val="4D4D4F"/>
        </w:rPr>
        <w:t>joint SORP-making body may issue information sheets which seek to clarify the application of the SORP or particular recommendations contained with</w:t>
      </w:r>
      <w:r w:rsidR="00C90F6C">
        <w:rPr>
          <w:rFonts w:ascii="Arial" w:eastAsia="Arial" w:hAnsi="Arial" w:cs="Arial"/>
          <w:color w:val="4D4D4F"/>
        </w:rPr>
        <w:t>in</w:t>
      </w:r>
      <w:r w:rsidRPr="00322581">
        <w:rPr>
          <w:rFonts w:ascii="Arial" w:eastAsia="Arial" w:hAnsi="Arial" w:cs="Arial"/>
          <w:color w:val="4D4D4F"/>
        </w:rPr>
        <w:t xml:space="preserve"> the SORP. Information sheets do not amend the SORP and are advisory in nature and are released to assist preparers, auditors and examiners of accounts in applying the SORP’s recommendations.</w:t>
      </w:r>
    </w:p>
    <w:p w14:paraId="4BDDB29A" w14:textId="77777777" w:rsidR="00322581" w:rsidRDefault="00322581" w:rsidP="00322581">
      <w:pPr>
        <w:spacing w:before="5" w:after="0" w:line="110" w:lineRule="exact"/>
        <w:rPr>
          <w:sz w:val="11"/>
          <w:szCs w:val="11"/>
        </w:rPr>
      </w:pPr>
    </w:p>
    <w:p w14:paraId="1319AE1E" w14:textId="1EB2A7A7" w:rsidR="00322581" w:rsidRDefault="00322581" w:rsidP="00322581">
      <w:pPr>
        <w:spacing w:after="0" w:line="284" w:lineRule="auto"/>
        <w:ind w:left="426" w:right="224"/>
        <w:rPr>
          <w:rFonts w:ascii="Arial" w:eastAsia="Arial" w:hAnsi="Arial" w:cs="Arial"/>
          <w:color w:val="4D4D4F"/>
          <w:spacing w:val="3"/>
        </w:rPr>
      </w:pPr>
      <w:r>
        <w:rPr>
          <w:rFonts w:ascii="Arial" w:eastAsia="Arial" w:hAnsi="Arial" w:cs="Arial"/>
          <w:color w:val="4D4D4F"/>
        </w:rPr>
        <w:t xml:space="preserve">It should be noted that information sheets do not form part of the SORP, nor are they reviewed by the FRC and therefore </w:t>
      </w:r>
      <w:r w:rsidR="004B43B3">
        <w:rPr>
          <w:rFonts w:ascii="Arial" w:eastAsia="Arial" w:hAnsi="Arial" w:cs="Arial"/>
          <w:color w:val="4D4D4F"/>
        </w:rPr>
        <w:t xml:space="preserve">they </w:t>
      </w:r>
      <w:r>
        <w:rPr>
          <w:rFonts w:ascii="Arial" w:eastAsia="Arial" w:hAnsi="Arial" w:cs="Arial"/>
          <w:color w:val="4D4D4F"/>
        </w:rPr>
        <w:t>do not carry the authority of the SORP.</w:t>
      </w:r>
    </w:p>
    <w:p w14:paraId="5B396527" w14:textId="77777777" w:rsidR="00322581" w:rsidRDefault="00322581" w:rsidP="00322581">
      <w:pPr>
        <w:spacing w:before="5" w:after="0" w:line="110" w:lineRule="exact"/>
        <w:rPr>
          <w:sz w:val="11"/>
          <w:szCs w:val="11"/>
        </w:rPr>
      </w:pPr>
    </w:p>
    <w:p w14:paraId="43EA621C" w14:textId="77777777" w:rsidR="00322581" w:rsidRDefault="00322581" w:rsidP="00322581">
      <w:pPr>
        <w:spacing w:after="0" w:line="284" w:lineRule="auto"/>
        <w:ind w:left="426" w:right="224"/>
        <w:rPr>
          <w:rFonts w:ascii="Arial" w:eastAsia="Arial" w:hAnsi="Arial" w:cs="Arial"/>
          <w:color w:val="4D4D4F"/>
          <w:spacing w:val="3"/>
        </w:rPr>
      </w:pPr>
      <w:r>
        <w:rPr>
          <w:rFonts w:ascii="Arial" w:eastAsia="Arial" w:hAnsi="Arial" w:cs="Arial"/>
          <w:color w:val="4D4D4F"/>
        </w:rPr>
        <w:t xml:space="preserve">It </w:t>
      </w:r>
      <w:r w:rsidRPr="00322581">
        <w:rPr>
          <w:rFonts w:ascii="Arial" w:eastAsia="Arial" w:hAnsi="Arial" w:cs="Arial"/>
          <w:color w:val="4D4D4F"/>
        </w:rPr>
        <w:t>is important for preparers of accounts to make reference to both the relevant SORP module and FRS 102 when preparing accounts and in making the required disclosures. References to legislation and reporting standards are correct at the time of going to press. Where an update to FRS 102 or a change in relevant legislation is made after the publication of this information sheet, any of the provisions of the SORP and clarifications offered in this information sheet which conflict with the updated FRS 102 or relevant legislation will cease to have effect.</w:t>
      </w:r>
      <w:r w:rsidRPr="00322581">
        <w:rPr>
          <w:rFonts w:ascii="Arial" w:eastAsia="Arial" w:hAnsi="Arial" w:cs="Arial"/>
          <w:color w:val="4D4D4F"/>
          <w:spacing w:val="3"/>
        </w:rPr>
        <w:t xml:space="preserve"> </w:t>
      </w:r>
    </w:p>
    <w:p w14:paraId="11C296F4" w14:textId="77777777" w:rsidR="00322581" w:rsidRDefault="00322581" w:rsidP="00322581">
      <w:pPr>
        <w:spacing w:before="5" w:after="0" w:line="110" w:lineRule="exact"/>
        <w:rPr>
          <w:sz w:val="11"/>
          <w:szCs w:val="11"/>
        </w:rPr>
      </w:pPr>
    </w:p>
    <w:p w14:paraId="7125CCC1" w14:textId="77777777" w:rsidR="00322581" w:rsidRDefault="00322581" w:rsidP="00322581">
      <w:pPr>
        <w:spacing w:after="0" w:line="284" w:lineRule="auto"/>
        <w:ind w:left="426" w:right="224"/>
        <w:rPr>
          <w:rFonts w:ascii="Arial" w:eastAsia="Arial" w:hAnsi="Arial" w:cs="Arial"/>
          <w:color w:val="4D4D4F"/>
        </w:rPr>
      </w:pPr>
      <w:r w:rsidRPr="00322581">
        <w:rPr>
          <w:rFonts w:ascii="Arial" w:eastAsia="Arial" w:hAnsi="Arial" w:cs="Arial"/>
          <w:color w:val="4D4D4F"/>
        </w:rPr>
        <w:t>The information sheet topics are ordered in line with the modules of the SORP on which they provide clarification</w:t>
      </w:r>
      <w:r>
        <w:rPr>
          <w:rFonts w:ascii="Arial" w:eastAsia="Arial" w:hAnsi="Arial" w:cs="Arial"/>
          <w:color w:val="4D4D4F"/>
        </w:rPr>
        <w:t>.</w:t>
      </w:r>
    </w:p>
    <w:p w14:paraId="522CF835" w14:textId="77777777" w:rsidR="00932874" w:rsidRDefault="00932874">
      <w:pPr>
        <w:spacing w:after="0"/>
        <w:sectPr w:rsidR="00932874">
          <w:headerReference w:type="even" r:id="rId11"/>
          <w:headerReference w:type="default" r:id="rId12"/>
          <w:footerReference w:type="default" r:id="rId13"/>
          <w:headerReference w:type="first" r:id="rId14"/>
          <w:pgSz w:w="11920" w:h="16840"/>
          <w:pgMar w:top="780" w:right="1600" w:bottom="880" w:left="1280" w:header="547" w:footer="692" w:gutter="0"/>
          <w:pgNumType w:start="1"/>
          <w:cols w:space="720"/>
        </w:sectPr>
      </w:pPr>
    </w:p>
    <w:p w14:paraId="223AD8E8" w14:textId="77777777" w:rsidR="00932874" w:rsidRDefault="00932874">
      <w:pPr>
        <w:spacing w:before="7" w:after="0" w:line="140" w:lineRule="exact"/>
        <w:rPr>
          <w:sz w:val="14"/>
          <w:szCs w:val="14"/>
        </w:rPr>
      </w:pPr>
    </w:p>
    <w:p w14:paraId="469FF2FB" w14:textId="77777777" w:rsidR="00932874" w:rsidRDefault="00932874">
      <w:pPr>
        <w:spacing w:after="0" w:line="200" w:lineRule="exact"/>
        <w:rPr>
          <w:sz w:val="20"/>
          <w:szCs w:val="20"/>
        </w:rPr>
      </w:pPr>
    </w:p>
    <w:p w14:paraId="01395197" w14:textId="77777777" w:rsidR="00932874" w:rsidRDefault="00932874">
      <w:pPr>
        <w:spacing w:after="0" w:line="200" w:lineRule="exact"/>
        <w:rPr>
          <w:sz w:val="20"/>
          <w:szCs w:val="20"/>
        </w:rPr>
      </w:pPr>
    </w:p>
    <w:p w14:paraId="0EFBCF7F" w14:textId="77777777" w:rsidR="00932874" w:rsidRPr="00F13CB0" w:rsidRDefault="005C7CDF">
      <w:pPr>
        <w:spacing w:before="24" w:after="0" w:line="240" w:lineRule="auto"/>
        <w:ind w:left="137" w:right="-20"/>
        <w:rPr>
          <w:rFonts w:ascii="Arial" w:eastAsia="Arial" w:hAnsi="Arial" w:cs="Arial"/>
          <w:color w:val="98C43D"/>
          <w:spacing w:val="-5"/>
          <w:sz w:val="28"/>
          <w:szCs w:val="28"/>
        </w:rPr>
      </w:pPr>
      <w:r w:rsidRPr="00F13CB0">
        <w:rPr>
          <w:rFonts w:ascii="Arial" w:eastAsia="Arial" w:hAnsi="Arial" w:cs="Arial"/>
          <w:noProof/>
          <w:color w:val="98C43D"/>
          <w:spacing w:val="-5"/>
          <w:sz w:val="28"/>
          <w:szCs w:val="28"/>
          <w:lang w:val="en-GB" w:eastAsia="en-GB"/>
        </w:rPr>
        <mc:AlternateContent>
          <mc:Choice Requires="wpg">
            <w:drawing>
              <wp:anchor distT="0" distB="0" distL="114300" distR="114300" simplePos="0" relativeHeight="251656192" behindDoc="1" locked="0" layoutInCell="1" allowOverlap="1" wp14:anchorId="1114A061" wp14:editId="5F59731E">
                <wp:simplePos x="0" y="0"/>
                <wp:positionH relativeFrom="page">
                  <wp:posOffset>899795</wp:posOffset>
                </wp:positionH>
                <wp:positionV relativeFrom="paragraph">
                  <wp:posOffset>257175</wp:posOffset>
                </wp:positionV>
                <wp:extent cx="5760085" cy="1270"/>
                <wp:effectExtent l="13970" t="13970" r="7620" b="3810"/>
                <wp:wrapNone/>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20"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F8AC4" id="Group 12" o:spid="_x0000_s1026" style="position:absolute;margin-left:70.85pt;margin-top:20.25pt;width:453.55pt;height:.1pt;z-index:-251660288;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r8MA&#10;AADbAAAADwAAAGRycy9kb3ducmV2LnhtbERPy2rCQBTdC/7DcAvd6UTBItFRStXSRRXqA9vdJXM7&#10;iWbuhMw0iX/vLIQuD+c9X3a2FA3VvnCsYDRMQBBnThdsFBwPm8EUhA/IGkvHpOBGHpaLfm+OqXYt&#10;f1GzD0bEEPYpKshDqFIpfZaTRT90FXHkfl1tMURYG6lrbGO4LeU4SV6kxYJjQ44VveWUXfd/VsHE&#10;XL7D++G8a02zpZ/PyWi1bk5KPT91rzMQgbrwL364P7SCcVwfv8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5r8MAAADbAAAADwAAAAAAAAAAAAAAAACYAgAAZHJzL2Rv&#10;d25yZXYueG1sUEsFBgAAAAAEAAQA9QAAAIgDAAAAAA==&#10;" path="m,l9071,e" filled="f" strokecolor="#98c43d" strokeweight=".5pt">
                  <v:path arrowok="t" o:connecttype="custom" o:connectlocs="0,0;9071,0" o:connectangles="0,0"/>
                </v:shape>
                <w10:wrap anchorx="page"/>
              </v:group>
            </w:pict>
          </mc:Fallback>
        </mc:AlternateContent>
      </w:r>
      <w:r w:rsidR="00F13CB0" w:rsidRPr="00F13CB0">
        <w:rPr>
          <w:rFonts w:ascii="Arial" w:eastAsia="Arial" w:hAnsi="Arial" w:cs="Arial"/>
          <w:color w:val="98C43D"/>
          <w:spacing w:val="-5"/>
          <w:sz w:val="28"/>
          <w:szCs w:val="28"/>
        </w:rPr>
        <w:t xml:space="preserve">Index of Topics </w:t>
      </w:r>
      <w:r w:rsidR="00F13CB0" w:rsidRPr="00F13CB0">
        <w:rPr>
          <w:rFonts w:ascii="Arial" w:eastAsia="Arial" w:hAnsi="Arial" w:cs="Arial"/>
          <w:spacing w:val="-5"/>
          <w:sz w:val="28"/>
          <w:szCs w:val="28"/>
        </w:rPr>
        <w:t>(Hyperlinked index)</w:t>
      </w:r>
    </w:p>
    <w:p w14:paraId="6D53F31B" w14:textId="77777777" w:rsidR="00932874" w:rsidRDefault="00932874">
      <w:pPr>
        <w:spacing w:before="1" w:after="0" w:line="260" w:lineRule="exact"/>
        <w:rPr>
          <w:sz w:val="26"/>
          <w:szCs w:val="26"/>
        </w:rPr>
      </w:pPr>
    </w:p>
    <w:p w14:paraId="48A25273" w14:textId="77777777" w:rsidR="00932874" w:rsidRDefault="001521D2" w:rsidP="00C90F6C">
      <w:pPr>
        <w:spacing w:after="0" w:line="284" w:lineRule="auto"/>
        <w:ind w:left="142" w:right="80" w:hanging="5"/>
        <w:rPr>
          <w:rFonts w:ascii="Arial" w:eastAsia="Arial" w:hAnsi="Arial" w:cs="Arial"/>
        </w:rPr>
      </w:pPr>
      <w:hyperlink w:anchor="ScopeAndApplication" w:history="1">
        <w:r w:rsidR="00F13CB0" w:rsidRPr="001052F3">
          <w:rPr>
            <w:rStyle w:val="Hyperlink"/>
            <w:rFonts w:ascii="Arial" w:eastAsia="Arial" w:hAnsi="Arial" w:cs="Arial"/>
          </w:rPr>
          <w:t>Accounting and reporting by charities: the statement of recommended practice (SORP) – scope and application</w:t>
        </w:r>
      </w:hyperlink>
    </w:p>
    <w:p w14:paraId="1641DCC6" w14:textId="77777777" w:rsidR="00932874" w:rsidRDefault="00932874">
      <w:pPr>
        <w:spacing w:before="5" w:after="0" w:line="110" w:lineRule="exact"/>
        <w:rPr>
          <w:sz w:val="11"/>
          <w:szCs w:val="11"/>
        </w:rPr>
      </w:pPr>
    </w:p>
    <w:p w14:paraId="77BF46FB" w14:textId="6EB50505" w:rsidR="00932874" w:rsidRDefault="0095190E" w:rsidP="00F13CB0">
      <w:pPr>
        <w:tabs>
          <w:tab w:val="left" w:pos="1260"/>
        </w:tabs>
        <w:spacing w:after="0" w:line="240" w:lineRule="auto"/>
        <w:ind w:left="1260" w:right="-20" w:hanging="329"/>
        <w:rPr>
          <w:rFonts w:ascii="Arial" w:eastAsia="Arial" w:hAnsi="Arial" w:cs="Arial"/>
        </w:rPr>
      </w:pPr>
      <w:r>
        <w:rPr>
          <w:rFonts w:ascii="Arial" w:eastAsia="Arial" w:hAnsi="Arial" w:cs="Arial"/>
          <w:color w:val="A7CA56"/>
        </w:rPr>
        <w:t>•</w:t>
      </w:r>
      <w:r>
        <w:rPr>
          <w:rFonts w:ascii="Arial" w:eastAsia="Arial" w:hAnsi="Arial" w:cs="Arial"/>
          <w:color w:val="A7CA56"/>
        </w:rPr>
        <w:tab/>
      </w:r>
      <w:r w:rsidR="00F13CB0">
        <w:rPr>
          <w:rFonts w:ascii="Arial" w:eastAsia="Arial" w:hAnsi="Arial" w:cs="Arial"/>
          <w:b/>
          <w:bCs/>
          <w:color w:val="4D4D4F"/>
          <w:spacing w:val="-2"/>
        </w:rPr>
        <w:t>Topic</w:t>
      </w:r>
      <w:r>
        <w:rPr>
          <w:rFonts w:ascii="Arial" w:eastAsia="Arial" w:hAnsi="Arial" w:cs="Arial"/>
          <w:b/>
          <w:bCs/>
          <w:color w:val="4D4D4F"/>
        </w:rPr>
        <w:t>:</w:t>
      </w:r>
      <w:r>
        <w:rPr>
          <w:rFonts w:ascii="Arial" w:eastAsia="Arial" w:hAnsi="Arial" w:cs="Arial"/>
          <w:b/>
          <w:bCs/>
          <w:color w:val="4D4D4F"/>
          <w:spacing w:val="-4"/>
        </w:rPr>
        <w:t xml:space="preserve"> </w:t>
      </w:r>
      <w:r w:rsidR="00A84686">
        <w:rPr>
          <w:rFonts w:ascii="Arial" w:eastAsia="Arial" w:hAnsi="Arial" w:cs="Arial"/>
          <w:i/>
          <w:color w:val="4D4D4F"/>
          <w:spacing w:val="-1"/>
        </w:rPr>
        <w:t>E</w:t>
      </w:r>
      <w:r w:rsidR="00F13CB0" w:rsidRPr="00F13CB0">
        <w:rPr>
          <w:rFonts w:ascii="Arial" w:eastAsia="Arial" w:hAnsi="Arial" w:cs="Arial"/>
          <w:i/>
          <w:color w:val="4D4D4F"/>
          <w:spacing w:val="-1"/>
        </w:rPr>
        <w:t xml:space="preserve">xemption from </w:t>
      </w:r>
      <w:r w:rsidR="00A84686">
        <w:rPr>
          <w:rFonts w:ascii="Arial" w:eastAsia="Arial" w:hAnsi="Arial" w:cs="Arial"/>
          <w:i/>
          <w:color w:val="4D4D4F"/>
          <w:spacing w:val="-1"/>
        </w:rPr>
        <w:t>preparing a cash flow statement in the individual accounts of a qualifying entity</w:t>
      </w:r>
    </w:p>
    <w:p w14:paraId="00130E16" w14:textId="77777777" w:rsidR="00932874" w:rsidRDefault="00932874">
      <w:pPr>
        <w:spacing w:before="5" w:after="0" w:line="110" w:lineRule="exact"/>
        <w:rPr>
          <w:sz w:val="11"/>
          <w:szCs w:val="11"/>
        </w:rPr>
      </w:pPr>
    </w:p>
    <w:p w14:paraId="7610220E" w14:textId="77777777" w:rsidR="00F13CB0" w:rsidRDefault="001521D2" w:rsidP="00F13CB0">
      <w:pPr>
        <w:tabs>
          <w:tab w:val="left" w:pos="760"/>
        </w:tabs>
        <w:spacing w:after="0" w:line="284" w:lineRule="auto"/>
        <w:ind w:left="761" w:right="80" w:hanging="624"/>
        <w:rPr>
          <w:rFonts w:ascii="Arial" w:eastAsia="Arial" w:hAnsi="Arial" w:cs="Arial"/>
        </w:rPr>
      </w:pPr>
      <w:hyperlink w:anchor="Module1" w:history="1">
        <w:r w:rsidR="00F13CB0" w:rsidRPr="001052F3">
          <w:rPr>
            <w:rStyle w:val="Hyperlink"/>
            <w:rFonts w:ascii="Arial" w:eastAsia="Arial" w:hAnsi="Arial" w:cs="Arial"/>
          </w:rPr>
          <w:t>Trustees’ annual report – module 1</w:t>
        </w:r>
      </w:hyperlink>
    </w:p>
    <w:p w14:paraId="63F7588A" w14:textId="77777777" w:rsidR="00F13CB0" w:rsidRDefault="00F13CB0" w:rsidP="00F13CB0">
      <w:pPr>
        <w:spacing w:before="5" w:after="0" w:line="110" w:lineRule="exact"/>
        <w:rPr>
          <w:sz w:val="11"/>
          <w:szCs w:val="11"/>
        </w:rPr>
      </w:pPr>
    </w:p>
    <w:p w14:paraId="230C8B83" w14:textId="77777777" w:rsidR="00F13CB0" w:rsidRPr="00013C77" w:rsidRDefault="00F13CB0" w:rsidP="00F13CB0">
      <w:pPr>
        <w:tabs>
          <w:tab w:val="left" w:pos="1260"/>
        </w:tabs>
        <w:spacing w:after="0" w:line="240" w:lineRule="auto"/>
        <w:ind w:left="1260" w:right="-20" w:hanging="329"/>
        <w:rPr>
          <w:rFonts w:ascii="Arial" w:eastAsia="Arial" w:hAnsi="Arial" w:cs="Arial"/>
        </w:rPr>
      </w:pPr>
      <w:r>
        <w:rPr>
          <w:rFonts w:ascii="Arial" w:eastAsia="Arial" w:hAnsi="Arial" w:cs="Arial"/>
          <w:color w:val="A7CA56"/>
        </w:rPr>
        <w:t>•</w:t>
      </w:r>
      <w:r>
        <w:rPr>
          <w:rFonts w:ascii="Arial" w:eastAsia="Arial" w:hAnsi="Arial" w:cs="Arial"/>
          <w:color w:val="A7CA56"/>
        </w:rPr>
        <w:tab/>
      </w:r>
      <w:r>
        <w:rPr>
          <w:rFonts w:ascii="Arial" w:eastAsia="Arial" w:hAnsi="Arial" w:cs="Arial"/>
          <w:b/>
          <w:bCs/>
          <w:color w:val="4D4D4F"/>
          <w:spacing w:val="-2"/>
        </w:rPr>
        <w:t>Topic</w:t>
      </w:r>
      <w:r>
        <w:rPr>
          <w:rFonts w:ascii="Arial" w:eastAsia="Arial" w:hAnsi="Arial" w:cs="Arial"/>
          <w:b/>
          <w:bCs/>
          <w:color w:val="4D4D4F"/>
        </w:rPr>
        <w:t>:</w:t>
      </w:r>
      <w:r>
        <w:rPr>
          <w:rFonts w:ascii="Arial" w:eastAsia="Arial" w:hAnsi="Arial" w:cs="Arial"/>
          <w:b/>
          <w:bCs/>
          <w:color w:val="4D4D4F"/>
          <w:spacing w:val="-4"/>
        </w:rPr>
        <w:t xml:space="preserve"> </w:t>
      </w:r>
      <w:r w:rsidRPr="00F13CB0">
        <w:rPr>
          <w:rFonts w:ascii="Arial" w:eastAsia="Arial" w:hAnsi="Arial" w:cs="Arial"/>
          <w:i/>
          <w:color w:val="4D4D4F"/>
          <w:spacing w:val="-1"/>
        </w:rPr>
        <w:t>Fundraising disclosures brought in by the Charities (Protection and Social Investment) Act 2016</w:t>
      </w:r>
      <w:r w:rsidR="00013C77">
        <w:rPr>
          <w:rFonts w:ascii="Arial" w:eastAsia="Arial" w:hAnsi="Arial" w:cs="Arial"/>
          <w:color w:val="4D4D4F"/>
          <w:spacing w:val="-1"/>
        </w:rPr>
        <w:t xml:space="preserve"> – England &amp; Wales only</w:t>
      </w:r>
    </w:p>
    <w:p w14:paraId="3350F137" w14:textId="77777777" w:rsidR="00F13CB0" w:rsidRDefault="00F13CB0" w:rsidP="00F13CB0">
      <w:pPr>
        <w:spacing w:before="5" w:after="0" w:line="110" w:lineRule="exact"/>
        <w:rPr>
          <w:sz w:val="11"/>
          <w:szCs w:val="11"/>
        </w:rPr>
      </w:pPr>
    </w:p>
    <w:p w14:paraId="43428F8A" w14:textId="77777777" w:rsidR="00F13CB0" w:rsidRDefault="001521D2" w:rsidP="00F13CB0">
      <w:pPr>
        <w:tabs>
          <w:tab w:val="left" w:pos="760"/>
        </w:tabs>
        <w:spacing w:after="0" w:line="284" w:lineRule="auto"/>
        <w:ind w:left="761" w:right="80" w:hanging="624"/>
        <w:rPr>
          <w:rFonts w:ascii="Arial" w:eastAsia="Arial" w:hAnsi="Arial" w:cs="Arial"/>
        </w:rPr>
      </w:pPr>
      <w:hyperlink w:anchor="Module2" w:history="1">
        <w:r w:rsidR="00BE4C61" w:rsidRPr="009C1DDB">
          <w:rPr>
            <w:rStyle w:val="Hyperlink"/>
            <w:rFonts w:ascii="Arial" w:eastAsia="Arial" w:hAnsi="Arial" w:cs="Arial"/>
          </w:rPr>
          <w:t>Fund accounting</w:t>
        </w:r>
        <w:r w:rsidR="00F13CB0" w:rsidRPr="009C1DDB">
          <w:rPr>
            <w:rStyle w:val="Hyperlink"/>
            <w:rFonts w:ascii="Arial" w:eastAsia="Arial" w:hAnsi="Arial" w:cs="Arial"/>
          </w:rPr>
          <w:t xml:space="preserve"> – module </w:t>
        </w:r>
        <w:r w:rsidR="00BE4C61" w:rsidRPr="009C1DDB">
          <w:rPr>
            <w:rStyle w:val="Hyperlink"/>
            <w:rFonts w:ascii="Arial" w:eastAsia="Arial" w:hAnsi="Arial" w:cs="Arial"/>
          </w:rPr>
          <w:t>2</w:t>
        </w:r>
      </w:hyperlink>
    </w:p>
    <w:p w14:paraId="6B8982B0" w14:textId="77777777" w:rsidR="00F13CB0" w:rsidRDefault="00F13CB0" w:rsidP="00F13CB0">
      <w:pPr>
        <w:spacing w:before="5" w:after="0" w:line="110" w:lineRule="exact"/>
        <w:rPr>
          <w:sz w:val="11"/>
          <w:szCs w:val="11"/>
        </w:rPr>
      </w:pPr>
    </w:p>
    <w:p w14:paraId="156786D0" w14:textId="77777777" w:rsidR="00F13CB0" w:rsidRDefault="00F13CB0" w:rsidP="00F13CB0">
      <w:pPr>
        <w:tabs>
          <w:tab w:val="left" w:pos="1260"/>
        </w:tabs>
        <w:spacing w:after="0" w:line="240" w:lineRule="auto"/>
        <w:ind w:left="1260" w:right="-20" w:hanging="329"/>
        <w:rPr>
          <w:rFonts w:ascii="Arial" w:eastAsia="Arial" w:hAnsi="Arial" w:cs="Arial"/>
        </w:rPr>
      </w:pPr>
      <w:r>
        <w:rPr>
          <w:rFonts w:ascii="Arial" w:eastAsia="Arial" w:hAnsi="Arial" w:cs="Arial"/>
          <w:color w:val="A7CA56"/>
        </w:rPr>
        <w:t>•</w:t>
      </w:r>
      <w:r>
        <w:rPr>
          <w:rFonts w:ascii="Arial" w:eastAsia="Arial" w:hAnsi="Arial" w:cs="Arial"/>
          <w:color w:val="A7CA56"/>
        </w:rPr>
        <w:tab/>
      </w:r>
      <w:r>
        <w:rPr>
          <w:rFonts w:ascii="Arial" w:eastAsia="Arial" w:hAnsi="Arial" w:cs="Arial"/>
          <w:b/>
          <w:bCs/>
          <w:color w:val="4D4D4F"/>
          <w:spacing w:val="-2"/>
        </w:rPr>
        <w:t>Topic</w:t>
      </w:r>
      <w:r>
        <w:rPr>
          <w:rFonts w:ascii="Arial" w:eastAsia="Arial" w:hAnsi="Arial" w:cs="Arial"/>
          <w:b/>
          <w:bCs/>
          <w:color w:val="4D4D4F"/>
        </w:rPr>
        <w:t>:</w:t>
      </w:r>
      <w:r>
        <w:rPr>
          <w:rFonts w:ascii="Arial" w:eastAsia="Arial" w:hAnsi="Arial" w:cs="Arial"/>
          <w:b/>
          <w:bCs/>
          <w:color w:val="4D4D4F"/>
          <w:spacing w:val="-4"/>
        </w:rPr>
        <w:t xml:space="preserve"> </w:t>
      </w:r>
      <w:r w:rsidR="00BE4C61" w:rsidRPr="00BE4C61">
        <w:rPr>
          <w:rFonts w:ascii="Arial" w:eastAsia="Arial" w:hAnsi="Arial" w:cs="Arial"/>
          <w:i/>
          <w:color w:val="4D4D4F"/>
          <w:spacing w:val="-1"/>
        </w:rPr>
        <w:t>Comparative figures for fund disclosures</w:t>
      </w:r>
    </w:p>
    <w:p w14:paraId="3FAB8A31" w14:textId="77777777" w:rsidR="00BE4C61" w:rsidRDefault="00BE4C61" w:rsidP="00BE4C61">
      <w:pPr>
        <w:spacing w:before="5" w:after="0" w:line="110" w:lineRule="exact"/>
        <w:rPr>
          <w:sz w:val="11"/>
          <w:szCs w:val="11"/>
        </w:rPr>
      </w:pPr>
    </w:p>
    <w:p w14:paraId="32E14F38" w14:textId="77777777" w:rsidR="00BE4C61" w:rsidRDefault="001521D2" w:rsidP="00BE4C61">
      <w:pPr>
        <w:tabs>
          <w:tab w:val="left" w:pos="760"/>
        </w:tabs>
        <w:spacing w:after="0" w:line="284" w:lineRule="auto"/>
        <w:ind w:left="761" w:right="80" w:hanging="624"/>
        <w:rPr>
          <w:rFonts w:ascii="Arial" w:eastAsia="Arial" w:hAnsi="Arial" w:cs="Arial"/>
        </w:rPr>
      </w:pPr>
      <w:hyperlink w:anchor="Module4" w:history="1">
        <w:r w:rsidR="00BE4C61" w:rsidRPr="009C1DDB">
          <w:rPr>
            <w:rStyle w:val="Hyperlink"/>
            <w:rFonts w:ascii="Arial" w:eastAsia="Arial" w:hAnsi="Arial" w:cs="Arial"/>
          </w:rPr>
          <w:t>Statement of financial activities (SoFA) – module 4</w:t>
        </w:r>
      </w:hyperlink>
    </w:p>
    <w:p w14:paraId="08A8F3E2" w14:textId="77777777" w:rsidR="00BE4C61" w:rsidRDefault="00BE4C61" w:rsidP="00BE4C61">
      <w:pPr>
        <w:spacing w:before="5" w:after="0" w:line="110" w:lineRule="exact"/>
        <w:rPr>
          <w:sz w:val="11"/>
          <w:szCs w:val="11"/>
        </w:rPr>
      </w:pPr>
    </w:p>
    <w:p w14:paraId="54A0E517" w14:textId="77777777" w:rsidR="00BE4C61" w:rsidRDefault="00BE4C61" w:rsidP="00BE4C61">
      <w:pPr>
        <w:tabs>
          <w:tab w:val="left" w:pos="1260"/>
        </w:tabs>
        <w:spacing w:after="0" w:line="240" w:lineRule="auto"/>
        <w:ind w:left="1260" w:right="-20" w:hanging="329"/>
        <w:rPr>
          <w:rFonts w:ascii="Arial" w:eastAsia="Arial" w:hAnsi="Arial" w:cs="Arial"/>
        </w:rPr>
      </w:pPr>
      <w:r>
        <w:rPr>
          <w:rFonts w:ascii="Arial" w:eastAsia="Arial" w:hAnsi="Arial" w:cs="Arial"/>
          <w:color w:val="A7CA56"/>
        </w:rPr>
        <w:t>•</w:t>
      </w:r>
      <w:r>
        <w:rPr>
          <w:rFonts w:ascii="Arial" w:eastAsia="Arial" w:hAnsi="Arial" w:cs="Arial"/>
          <w:color w:val="A7CA56"/>
        </w:rPr>
        <w:tab/>
      </w:r>
      <w:r>
        <w:rPr>
          <w:rFonts w:ascii="Arial" w:eastAsia="Arial" w:hAnsi="Arial" w:cs="Arial"/>
          <w:b/>
          <w:bCs/>
          <w:color w:val="4D4D4F"/>
          <w:spacing w:val="-2"/>
        </w:rPr>
        <w:t>Topic</w:t>
      </w:r>
      <w:r>
        <w:rPr>
          <w:rFonts w:ascii="Arial" w:eastAsia="Arial" w:hAnsi="Arial" w:cs="Arial"/>
          <w:b/>
          <w:bCs/>
          <w:color w:val="4D4D4F"/>
        </w:rPr>
        <w:t>:</w:t>
      </w:r>
      <w:r>
        <w:rPr>
          <w:rFonts w:ascii="Arial" w:eastAsia="Arial" w:hAnsi="Arial" w:cs="Arial"/>
          <w:b/>
          <w:bCs/>
          <w:color w:val="4D4D4F"/>
          <w:spacing w:val="-4"/>
        </w:rPr>
        <w:t xml:space="preserve"> </w:t>
      </w:r>
      <w:r w:rsidRPr="00BE4C61">
        <w:rPr>
          <w:rFonts w:ascii="Arial" w:eastAsia="Arial" w:hAnsi="Arial" w:cs="Arial"/>
          <w:i/>
          <w:color w:val="4D4D4F"/>
          <w:spacing w:val="-1"/>
        </w:rPr>
        <w:t>Inclusion of governance costs within expenditure on raising funds</w:t>
      </w:r>
    </w:p>
    <w:p w14:paraId="3B8181D7" w14:textId="77777777" w:rsidR="00BE4C61" w:rsidRDefault="00BE4C61" w:rsidP="00BE4C61">
      <w:pPr>
        <w:spacing w:before="5" w:after="0" w:line="110" w:lineRule="exact"/>
        <w:rPr>
          <w:sz w:val="11"/>
          <w:szCs w:val="11"/>
        </w:rPr>
      </w:pPr>
    </w:p>
    <w:p w14:paraId="725EF0D1" w14:textId="77777777" w:rsidR="00BE4C61" w:rsidRDefault="001521D2" w:rsidP="00BE4C61">
      <w:pPr>
        <w:tabs>
          <w:tab w:val="left" w:pos="760"/>
        </w:tabs>
        <w:spacing w:after="0" w:line="284" w:lineRule="auto"/>
        <w:ind w:left="761" w:right="80" w:hanging="624"/>
        <w:rPr>
          <w:rFonts w:ascii="Arial" w:eastAsia="Arial" w:hAnsi="Arial" w:cs="Arial"/>
        </w:rPr>
      </w:pPr>
      <w:hyperlink w:anchor="Module5" w:history="1">
        <w:r w:rsidR="00BE4C61" w:rsidRPr="009C1DDB">
          <w:rPr>
            <w:rStyle w:val="Hyperlink"/>
            <w:rFonts w:ascii="Arial" w:eastAsia="Arial" w:hAnsi="Arial" w:cs="Arial"/>
          </w:rPr>
          <w:t>Recognition of income, including legacies, grants and contract income – module 5</w:t>
        </w:r>
      </w:hyperlink>
    </w:p>
    <w:p w14:paraId="3F49685A" w14:textId="77777777" w:rsidR="00BE4C61" w:rsidRDefault="00BE4C61" w:rsidP="00BE4C61">
      <w:pPr>
        <w:spacing w:before="5" w:after="0" w:line="110" w:lineRule="exact"/>
        <w:rPr>
          <w:sz w:val="11"/>
          <w:szCs w:val="11"/>
        </w:rPr>
      </w:pPr>
    </w:p>
    <w:p w14:paraId="7E352A38" w14:textId="318E79B8" w:rsidR="00BE4C61" w:rsidRDefault="00BE4C61" w:rsidP="00BE4C61">
      <w:pPr>
        <w:tabs>
          <w:tab w:val="left" w:pos="1260"/>
        </w:tabs>
        <w:spacing w:after="0" w:line="240" w:lineRule="auto"/>
        <w:ind w:left="1260" w:right="-20" w:hanging="329"/>
        <w:rPr>
          <w:rFonts w:ascii="Arial" w:eastAsia="Arial" w:hAnsi="Arial" w:cs="Arial"/>
        </w:rPr>
      </w:pPr>
      <w:r>
        <w:rPr>
          <w:rFonts w:ascii="Arial" w:eastAsia="Arial" w:hAnsi="Arial" w:cs="Arial"/>
          <w:color w:val="A7CA56"/>
        </w:rPr>
        <w:t>•</w:t>
      </w:r>
      <w:r>
        <w:rPr>
          <w:rFonts w:ascii="Arial" w:eastAsia="Arial" w:hAnsi="Arial" w:cs="Arial"/>
          <w:color w:val="A7CA56"/>
        </w:rPr>
        <w:tab/>
      </w:r>
      <w:r>
        <w:rPr>
          <w:rFonts w:ascii="Arial" w:eastAsia="Arial" w:hAnsi="Arial" w:cs="Arial"/>
          <w:b/>
          <w:bCs/>
          <w:color w:val="4D4D4F"/>
          <w:spacing w:val="-2"/>
        </w:rPr>
        <w:t>Topic</w:t>
      </w:r>
      <w:r>
        <w:rPr>
          <w:rFonts w:ascii="Arial" w:eastAsia="Arial" w:hAnsi="Arial" w:cs="Arial"/>
          <w:b/>
          <w:bCs/>
          <w:color w:val="4D4D4F"/>
        </w:rPr>
        <w:t>:</w:t>
      </w:r>
      <w:r>
        <w:rPr>
          <w:rFonts w:ascii="Arial" w:eastAsia="Arial" w:hAnsi="Arial" w:cs="Arial"/>
          <w:b/>
          <w:bCs/>
          <w:color w:val="4D4D4F"/>
          <w:spacing w:val="-4"/>
        </w:rPr>
        <w:t xml:space="preserve"> </w:t>
      </w:r>
      <w:r w:rsidRPr="00BE4C61">
        <w:rPr>
          <w:rFonts w:ascii="Arial" w:eastAsia="Arial" w:hAnsi="Arial" w:cs="Arial"/>
          <w:i/>
          <w:color w:val="4D4D4F"/>
          <w:spacing w:val="-1"/>
        </w:rPr>
        <w:t xml:space="preserve">Treatment of </w:t>
      </w:r>
      <w:r w:rsidR="00B14D48">
        <w:rPr>
          <w:rFonts w:ascii="Arial" w:eastAsia="Arial" w:hAnsi="Arial" w:cs="Arial"/>
          <w:i/>
          <w:color w:val="4D4D4F"/>
          <w:spacing w:val="-1"/>
        </w:rPr>
        <w:t>funding</w:t>
      </w:r>
      <w:r w:rsidR="00B14D48" w:rsidRPr="00BE4C61">
        <w:rPr>
          <w:rFonts w:ascii="Arial" w:eastAsia="Arial" w:hAnsi="Arial" w:cs="Arial"/>
          <w:i/>
          <w:color w:val="4D4D4F"/>
          <w:spacing w:val="-1"/>
        </w:rPr>
        <w:t xml:space="preserve"> </w:t>
      </w:r>
      <w:r w:rsidRPr="00BE4C61">
        <w:rPr>
          <w:rFonts w:ascii="Arial" w:eastAsia="Arial" w:hAnsi="Arial" w:cs="Arial"/>
          <w:i/>
          <w:color w:val="4D4D4F"/>
          <w:spacing w:val="-1"/>
        </w:rPr>
        <w:t>‘clawed back’ by funders</w:t>
      </w:r>
    </w:p>
    <w:p w14:paraId="58A1AB44" w14:textId="77777777" w:rsidR="00BE4C61" w:rsidRDefault="00BE4C61" w:rsidP="00BE4C61">
      <w:pPr>
        <w:spacing w:before="5" w:after="0" w:line="110" w:lineRule="exact"/>
        <w:rPr>
          <w:sz w:val="11"/>
          <w:szCs w:val="11"/>
        </w:rPr>
      </w:pPr>
    </w:p>
    <w:p w14:paraId="4D343288" w14:textId="77777777" w:rsidR="00BE4C61" w:rsidRDefault="001521D2" w:rsidP="00C90F6C">
      <w:pPr>
        <w:spacing w:after="0" w:line="284" w:lineRule="auto"/>
        <w:ind w:left="142" w:right="80" w:hanging="5"/>
        <w:rPr>
          <w:rFonts w:ascii="Arial" w:eastAsia="Arial" w:hAnsi="Arial" w:cs="Arial"/>
        </w:rPr>
      </w:pPr>
      <w:hyperlink w:anchor="Module9" w:history="1">
        <w:r w:rsidR="00BE4C61" w:rsidRPr="009C1DDB">
          <w:rPr>
            <w:rStyle w:val="Hyperlink"/>
            <w:rFonts w:ascii="Arial" w:eastAsia="Arial" w:hAnsi="Arial" w:cs="Arial"/>
          </w:rPr>
          <w:t>Disclosure of trustee and staff remuneration and related party and other transactions - module 9</w:t>
        </w:r>
      </w:hyperlink>
    </w:p>
    <w:p w14:paraId="66837BA6" w14:textId="77777777" w:rsidR="00BE4C61" w:rsidRDefault="00BE4C61" w:rsidP="00BE4C61">
      <w:pPr>
        <w:spacing w:before="5" w:after="0" w:line="110" w:lineRule="exact"/>
        <w:rPr>
          <w:sz w:val="11"/>
          <w:szCs w:val="11"/>
        </w:rPr>
      </w:pPr>
    </w:p>
    <w:p w14:paraId="5D2B6CE3" w14:textId="77777777" w:rsidR="00BE4C61" w:rsidRDefault="00BE4C61" w:rsidP="00BE4C61">
      <w:pPr>
        <w:tabs>
          <w:tab w:val="left" w:pos="1260"/>
        </w:tabs>
        <w:spacing w:after="0" w:line="240" w:lineRule="auto"/>
        <w:ind w:left="1260" w:right="-20" w:hanging="329"/>
        <w:rPr>
          <w:rFonts w:ascii="Arial" w:eastAsia="Arial" w:hAnsi="Arial" w:cs="Arial"/>
        </w:rPr>
      </w:pPr>
      <w:r>
        <w:rPr>
          <w:rFonts w:ascii="Arial" w:eastAsia="Arial" w:hAnsi="Arial" w:cs="Arial"/>
          <w:color w:val="A7CA56"/>
        </w:rPr>
        <w:t>•</w:t>
      </w:r>
      <w:r>
        <w:rPr>
          <w:rFonts w:ascii="Arial" w:eastAsia="Arial" w:hAnsi="Arial" w:cs="Arial"/>
          <w:color w:val="A7CA56"/>
        </w:rPr>
        <w:tab/>
      </w:r>
      <w:r>
        <w:rPr>
          <w:rFonts w:ascii="Arial" w:eastAsia="Arial" w:hAnsi="Arial" w:cs="Arial"/>
          <w:b/>
          <w:bCs/>
          <w:color w:val="4D4D4F"/>
          <w:spacing w:val="-2"/>
        </w:rPr>
        <w:t>Topic</w:t>
      </w:r>
      <w:r>
        <w:rPr>
          <w:rFonts w:ascii="Arial" w:eastAsia="Arial" w:hAnsi="Arial" w:cs="Arial"/>
          <w:b/>
          <w:bCs/>
          <w:color w:val="4D4D4F"/>
        </w:rPr>
        <w:t>:</w:t>
      </w:r>
      <w:r>
        <w:rPr>
          <w:rFonts w:ascii="Arial" w:eastAsia="Arial" w:hAnsi="Arial" w:cs="Arial"/>
          <w:b/>
          <w:bCs/>
          <w:color w:val="4D4D4F"/>
          <w:spacing w:val="-4"/>
        </w:rPr>
        <w:t xml:space="preserve"> </w:t>
      </w:r>
      <w:r w:rsidRPr="00BE4C61">
        <w:rPr>
          <w:rFonts w:ascii="Arial" w:eastAsia="Arial" w:hAnsi="Arial" w:cs="Arial"/>
          <w:i/>
          <w:color w:val="4D4D4F"/>
          <w:spacing w:val="-1"/>
        </w:rPr>
        <w:t>Exemptions from disclosure of the names of related parties</w:t>
      </w:r>
    </w:p>
    <w:p w14:paraId="65FD3BA5" w14:textId="77777777" w:rsidR="00BE4C61" w:rsidRDefault="00BE4C61" w:rsidP="00BE4C61">
      <w:pPr>
        <w:spacing w:before="5" w:after="0" w:line="110" w:lineRule="exact"/>
        <w:rPr>
          <w:sz w:val="11"/>
          <w:szCs w:val="11"/>
        </w:rPr>
      </w:pPr>
    </w:p>
    <w:p w14:paraId="3EE61A75" w14:textId="77777777" w:rsidR="00932874" w:rsidRDefault="0095190E">
      <w:pPr>
        <w:tabs>
          <w:tab w:val="left" w:pos="1260"/>
        </w:tabs>
        <w:spacing w:after="0" w:line="284" w:lineRule="auto"/>
        <w:ind w:left="1271" w:right="403" w:hanging="340"/>
        <w:rPr>
          <w:rFonts w:ascii="Arial" w:eastAsia="Arial" w:hAnsi="Arial" w:cs="Arial"/>
        </w:rPr>
      </w:pPr>
      <w:r>
        <w:rPr>
          <w:rFonts w:ascii="Arial" w:eastAsia="Arial" w:hAnsi="Arial" w:cs="Arial"/>
          <w:color w:val="A7CA56"/>
        </w:rPr>
        <w:t>•</w:t>
      </w:r>
      <w:r>
        <w:rPr>
          <w:rFonts w:ascii="Arial" w:eastAsia="Arial" w:hAnsi="Arial" w:cs="Arial"/>
          <w:color w:val="A7CA56"/>
        </w:rPr>
        <w:tab/>
      </w:r>
      <w:r w:rsidR="00BE4C61">
        <w:rPr>
          <w:rFonts w:ascii="Arial" w:eastAsia="Arial" w:hAnsi="Arial" w:cs="Arial"/>
          <w:b/>
          <w:bCs/>
          <w:color w:val="4D4D4F"/>
          <w:spacing w:val="2"/>
        </w:rPr>
        <w:t xml:space="preserve">Topic: </w:t>
      </w:r>
      <w:r w:rsidR="00BE4C61" w:rsidRPr="00BE4C61">
        <w:rPr>
          <w:rFonts w:ascii="Arial" w:eastAsia="Arial" w:hAnsi="Arial" w:cs="Arial"/>
          <w:i/>
          <w:color w:val="4D4D4F"/>
          <w:spacing w:val="-1"/>
        </w:rPr>
        <w:t>Aggregate disclosure of the total amount of donations received without conditions</w:t>
      </w:r>
    </w:p>
    <w:p w14:paraId="1C91DB77" w14:textId="77777777" w:rsidR="00932874" w:rsidRDefault="00932874">
      <w:pPr>
        <w:spacing w:before="5" w:after="0" w:line="110" w:lineRule="exact"/>
        <w:rPr>
          <w:sz w:val="11"/>
          <w:szCs w:val="11"/>
        </w:rPr>
      </w:pPr>
    </w:p>
    <w:p w14:paraId="229D195B" w14:textId="77777777" w:rsidR="00932874" w:rsidRDefault="0095190E">
      <w:pPr>
        <w:tabs>
          <w:tab w:val="left" w:pos="1260"/>
        </w:tabs>
        <w:spacing w:after="0" w:line="284" w:lineRule="auto"/>
        <w:ind w:left="1271" w:right="261" w:hanging="340"/>
        <w:rPr>
          <w:rFonts w:ascii="Arial" w:eastAsia="Arial" w:hAnsi="Arial" w:cs="Arial"/>
          <w:i/>
          <w:color w:val="4D4D4F"/>
          <w:spacing w:val="-1"/>
        </w:rPr>
      </w:pPr>
      <w:r>
        <w:rPr>
          <w:rFonts w:ascii="Arial" w:eastAsia="Arial" w:hAnsi="Arial" w:cs="Arial"/>
          <w:color w:val="A7CA56"/>
        </w:rPr>
        <w:t>•</w:t>
      </w:r>
      <w:r>
        <w:rPr>
          <w:rFonts w:ascii="Arial" w:eastAsia="Arial" w:hAnsi="Arial" w:cs="Arial"/>
          <w:color w:val="A7CA56"/>
        </w:rPr>
        <w:tab/>
      </w:r>
      <w:r w:rsidR="00BE4C61">
        <w:rPr>
          <w:rFonts w:ascii="Arial" w:eastAsia="Arial" w:hAnsi="Arial" w:cs="Arial"/>
          <w:b/>
          <w:bCs/>
          <w:color w:val="4D4D4F"/>
          <w:spacing w:val="2"/>
        </w:rPr>
        <w:t>T</w:t>
      </w:r>
      <w:r>
        <w:rPr>
          <w:rFonts w:ascii="Arial" w:eastAsia="Arial" w:hAnsi="Arial" w:cs="Arial"/>
          <w:b/>
          <w:bCs/>
          <w:color w:val="4D4D4F"/>
          <w:spacing w:val="1"/>
        </w:rPr>
        <w:t>o</w:t>
      </w:r>
      <w:r w:rsidR="00BE4C61">
        <w:rPr>
          <w:rFonts w:ascii="Arial" w:eastAsia="Arial" w:hAnsi="Arial" w:cs="Arial"/>
          <w:b/>
          <w:bCs/>
          <w:color w:val="4D4D4F"/>
          <w:spacing w:val="2"/>
        </w:rPr>
        <w:t xml:space="preserve">pic: </w:t>
      </w:r>
      <w:r w:rsidR="00BE4C61" w:rsidRPr="00BE4C61">
        <w:rPr>
          <w:rFonts w:ascii="Arial" w:eastAsia="Arial" w:hAnsi="Arial" w:cs="Arial"/>
          <w:i/>
          <w:color w:val="4D4D4F"/>
          <w:spacing w:val="-1"/>
        </w:rPr>
        <w:t>Inclusion of Employers National Insurance Contributions (NIC) as part of employee benefits</w:t>
      </w:r>
    </w:p>
    <w:p w14:paraId="7FE28994" w14:textId="77777777" w:rsidR="00BE4C61" w:rsidRDefault="00BE4C61" w:rsidP="00BE4C61">
      <w:pPr>
        <w:spacing w:before="5" w:after="0" w:line="110" w:lineRule="exact"/>
        <w:rPr>
          <w:sz w:val="11"/>
          <w:szCs w:val="11"/>
        </w:rPr>
      </w:pPr>
    </w:p>
    <w:p w14:paraId="30C4E495" w14:textId="77777777" w:rsidR="00BE4C61" w:rsidRDefault="001521D2" w:rsidP="00BE4C61">
      <w:pPr>
        <w:tabs>
          <w:tab w:val="left" w:pos="760"/>
        </w:tabs>
        <w:spacing w:after="0" w:line="284" w:lineRule="auto"/>
        <w:ind w:left="761" w:right="80" w:hanging="624"/>
        <w:rPr>
          <w:rFonts w:ascii="Arial" w:eastAsia="Arial" w:hAnsi="Arial" w:cs="Arial"/>
        </w:rPr>
      </w:pPr>
      <w:hyperlink w:anchor="Module12" w:history="1">
        <w:r w:rsidR="00BE4C61" w:rsidRPr="009C1DDB">
          <w:rPr>
            <w:rStyle w:val="Hyperlink"/>
            <w:rFonts w:ascii="Arial" w:eastAsia="Arial" w:hAnsi="Arial" w:cs="Arial"/>
          </w:rPr>
          <w:t>Accounting for impairment - module 12</w:t>
        </w:r>
      </w:hyperlink>
    </w:p>
    <w:p w14:paraId="0C81FEAD" w14:textId="77777777" w:rsidR="00BE4C61" w:rsidRDefault="00BE4C61" w:rsidP="00BE4C61">
      <w:pPr>
        <w:spacing w:before="5" w:after="0" w:line="110" w:lineRule="exact"/>
        <w:rPr>
          <w:sz w:val="11"/>
          <w:szCs w:val="11"/>
        </w:rPr>
      </w:pPr>
    </w:p>
    <w:p w14:paraId="7213DE74" w14:textId="77777777" w:rsidR="00BE4C61" w:rsidRDefault="00BE4C61" w:rsidP="00BE4C61">
      <w:pPr>
        <w:tabs>
          <w:tab w:val="left" w:pos="1260"/>
        </w:tabs>
        <w:spacing w:after="0" w:line="240" w:lineRule="auto"/>
        <w:ind w:left="1260" w:right="-20" w:hanging="329"/>
        <w:rPr>
          <w:rFonts w:ascii="Arial" w:eastAsia="Arial" w:hAnsi="Arial" w:cs="Arial"/>
        </w:rPr>
      </w:pPr>
      <w:r>
        <w:rPr>
          <w:rFonts w:ascii="Arial" w:eastAsia="Arial" w:hAnsi="Arial" w:cs="Arial"/>
          <w:color w:val="A7CA56"/>
        </w:rPr>
        <w:t>•</w:t>
      </w:r>
      <w:r>
        <w:rPr>
          <w:rFonts w:ascii="Arial" w:eastAsia="Arial" w:hAnsi="Arial" w:cs="Arial"/>
          <w:color w:val="A7CA56"/>
        </w:rPr>
        <w:tab/>
      </w:r>
      <w:r>
        <w:rPr>
          <w:rFonts w:ascii="Arial" w:eastAsia="Arial" w:hAnsi="Arial" w:cs="Arial"/>
          <w:b/>
          <w:bCs/>
          <w:color w:val="4D4D4F"/>
          <w:spacing w:val="-2"/>
        </w:rPr>
        <w:t>Topic</w:t>
      </w:r>
      <w:r>
        <w:rPr>
          <w:rFonts w:ascii="Arial" w:eastAsia="Arial" w:hAnsi="Arial" w:cs="Arial"/>
          <w:b/>
          <w:bCs/>
          <w:color w:val="4D4D4F"/>
        </w:rPr>
        <w:t>:</w:t>
      </w:r>
      <w:r>
        <w:rPr>
          <w:rFonts w:ascii="Arial" w:eastAsia="Arial" w:hAnsi="Arial" w:cs="Arial"/>
          <w:b/>
          <w:bCs/>
          <w:color w:val="4D4D4F"/>
          <w:spacing w:val="-4"/>
        </w:rPr>
        <w:t xml:space="preserve"> </w:t>
      </w:r>
      <w:r w:rsidRPr="00BE4C61">
        <w:rPr>
          <w:rFonts w:ascii="Arial" w:eastAsia="Arial" w:hAnsi="Arial" w:cs="Arial"/>
          <w:i/>
          <w:color w:val="4D4D4F"/>
          <w:spacing w:val="-1"/>
        </w:rPr>
        <w:t>Treatment of losses on disposal of a tangible fixed assets</w:t>
      </w:r>
    </w:p>
    <w:p w14:paraId="7F49FD66" w14:textId="77777777" w:rsidR="00BE4C61" w:rsidRDefault="00BE4C61" w:rsidP="00BE4C61">
      <w:pPr>
        <w:spacing w:before="5" w:after="0" w:line="110" w:lineRule="exact"/>
        <w:rPr>
          <w:sz w:val="11"/>
          <w:szCs w:val="11"/>
        </w:rPr>
      </w:pPr>
    </w:p>
    <w:p w14:paraId="548B3C99" w14:textId="77777777" w:rsidR="00BE4C61" w:rsidRDefault="001521D2" w:rsidP="00BE4C61">
      <w:pPr>
        <w:tabs>
          <w:tab w:val="left" w:pos="760"/>
        </w:tabs>
        <w:spacing w:after="0" w:line="284" w:lineRule="auto"/>
        <w:ind w:left="761" w:right="80" w:hanging="624"/>
        <w:rPr>
          <w:rFonts w:ascii="Arial" w:eastAsia="Arial" w:hAnsi="Arial" w:cs="Arial"/>
        </w:rPr>
      </w:pPr>
      <w:hyperlink w:anchor="Module15" w:history="1">
        <w:r w:rsidR="00BE4C61" w:rsidRPr="009C1DDB">
          <w:rPr>
            <w:rStyle w:val="Hyperlink"/>
            <w:rFonts w:ascii="Arial" w:eastAsia="Arial" w:hAnsi="Arial" w:cs="Arial"/>
          </w:rPr>
          <w:t>Charities established under company law - module 15</w:t>
        </w:r>
      </w:hyperlink>
    </w:p>
    <w:p w14:paraId="7CA08DDF" w14:textId="77777777" w:rsidR="00BE4C61" w:rsidRDefault="00BE4C61" w:rsidP="00BE4C61">
      <w:pPr>
        <w:spacing w:before="5" w:after="0" w:line="110" w:lineRule="exact"/>
        <w:rPr>
          <w:sz w:val="11"/>
          <w:szCs w:val="11"/>
        </w:rPr>
      </w:pPr>
    </w:p>
    <w:p w14:paraId="366FB17A" w14:textId="77777777" w:rsidR="00BE4C61" w:rsidRPr="00013C77" w:rsidRDefault="00BE4C61" w:rsidP="00BE4C61">
      <w:pPr>
        <w:tabs>
          <w:tab w:val="left" w:pos="1260"/>
        </w:tabs>
        <w:spacing w:after="0" w:line="240" w:lineRule="auto"/>
        <w:ind w:left="1260" w:right="-20" w:hanging="329"/>
        <w:rPr>
          <w:rFonts w:ascii="Arial" w:eastAsia="Arial" w:hAnsi="Arial" w:cs="Arial"/>
        </w:rPr>
      </w:pPr>
      <w:r>
        <w:rPr>
          <w:rFonts w:ascii="Arial" w:eastAsia="Arial" w:hAnsi="Arial" w:cs="Arial"/>
          <w:color w:val="A7CA56"/>
        </w:rPr>
        <w:t>•</w:t>
      </w:r>
      <w:r>
        <w:rPr>
          <w:rFonts w:ascii="Arial" w:eastAsia="Arial" w:hAnsi="Arial" w:cs="Arial"/>
          <w:color w:val="A7CA56"/>
        </w:rPr>
        <w:tab/>
      </w:r>
      <w:r>
        <w:rPr>
          <w:rFonts w:ascii="Arial" w:eastAsia="Arial" w:hAnsi="Arial" w:cs="Arial"/>
          <w:b/>
          <w:bCs/>
          <w:color w:val="4D4D4F"/>
          <w:spacing w:val="-2"/>
        </w:rPr>
        <w:t>Topic</w:t>
      </w:r>
      <w:r>
        <w:rPr>
          <w:rFonts w:ascii="Arial" w:eastAsia="Arial" w:hAnsi="Arial" w:cs="Arial"/>
          <w:b/>
          <w:bCs/>
          <w:color w:val="4D4D4F"/>
        </w:rPr>
        <w:t>:</w:t>
      </w:r>
      <w:r>
        <w:rPr>
          <w:rFonts w:ascii="Arial" w:eastAsia="Arial" w:hAnsi="Arial" w:cs="Arial"/>
          <w:b/>
          <w:bCs/>
          <w:color w:val="4D4D4F"/>
          <w:spacing w:val="-4"/>
        </w:rPr>
        <w:t xml:space="preserve"> </w:t>
      </w:r>
      <w:r w:rsidRPr="00BE4C61">
        <w:rPr>
          <w:rFonts w:ascii="Arial" w:eastAsia="Arial" w:hAnsi="Arial" w:cs="Arial"/>
          <w:i/>
          <w:color w:val="4D4D4F"/>
          <w:spacing w:val="-1"/>
        </w:rPr>
        <w:t>Reporting requirements for charitable companies reporting in the Republic of Ireland under the Companies Act 2014</w:t>
      </w:r>
      <w:r w:rsidR="00013C77">
        <w:rPr>
          <w:rFonts w:ascii="Arial" w:eastAsia="Arial" w:hAnsi="Arial" w:cs="Arial"/>
          <w:color w:val="4D4D4F"/>
          <w:spacing w:val="-1"/>
        </w:rPr>
        <w:t xml:space="preserve"> – Republic of Ireland only</w:t>
      </w:r>
    </w:p>
    <w:p w14:paraId="75F86CC2" w14:textId="77777777" w:rsidR="00BE4C61" w:rsidRDefault="00BE4C61" w:rsidP="00BE4C61">
      <w:pPr>
        <w:spacing w:before="5" w:after="0" w:line="110" w:lineRule="exact"/>
        <w:rPr>
          <w:sz w:val="11"/>
          <w:szCs w:val="11"/>
        </w:rPr>
      </w:pPr>
    </w:p>
    <w:p w14:paraId="56714DB4" w14:textId="77777777" w:rsidR="00BE4C61" w:rsidRDefault="00BE4C61" w:rsidP="00BE4C61">
      <w:pPr>
        <w:tabs>
          <w:tab w:val="left" w:pos="1260"/>
        </w:tabs>
        <w:spacing w:after="0" w:line="284" w:lineRule="auto"/>
        <w:ind w:left="1271" w:right="261" w:hanging="340"/>
        <w:rPr>
          <w:rFonts w:ascii="Arial" w:eastAsia="Arial" w:hAnsi="Arial" w:cs="Arial"/>
        </w:rPr>
      </w:pPr>
      <w:r>
        <w:rPr>
          <w:rFonts w:ascii="Arial" w:eastAsia="Arial" w:hAnsi="Arial" w:cs="Arial"/>
          <w:color w:val="A7CA56"/>
        </w:rPr>
        <w:t>•</w:t>
      </w:r>
      <w:r>
        <w:rPr>
          <w:rFonts w:ascii="Arial" w:eastAsia="Arial" w:hAnsi="Arial" w:cs="Arial"/>
          <w:color w:val="A7CA56"/>
        </w:rPr>
        <w:tab/>
      </w:r>
      <w:r>
        <w:rPr>
          <w:rFonts w:ascii="Arial" w:eastAsia="Arial" w:hAnsi="Arial" w:cs="Arial"/>
          <w:b/>
          <w:bCs/>
          <w:color w:val="4D4D4F"/>
          <w:spacing w:val="2"/>
        </w:rPr>
        <w:t xml:space="preserve">Topic: </w:t>
      </w:r>
      <w:r w:rsidRPr="00BE4C61">
        <w:rPr>
          <w:rFonts w:ascii="Arial" w:eastAsia="Arial" w:hAnsi="Arial" w:cs="Arial"/>
          <w:i/>
          <w:color w:val="4D4D4F"/>
          <w:spacing w:val="-1"/>
        </w:rPr>
        <w:t>Requirement for a fair value reserve</w:t>
      </w:r>
    </w:p>
    <w:p w14:paraId="53BEDCB7" w14:textId="77777777" w:rsidR="00BE4C61" w:rsidRDefault="00BE4C61" w:rsidP="00BE4C61">
      <w:pPr>
        <w:spacing w:before="5" w:after="0" w:line="110" w:lineRule="exact"/>
        <w:rPr>
          <w:sz w:val="11"/>
          <w:szCs w:val="11"/>
        </w:rPr>
      </w:pPr>
    </w:p>
    <w:p w14:paraId="5C2628A7" w14:textId="77777777" w:rsidR="00BE4C61" w:rsidRDefault="001521D2" w:rsidP="00BE4C61">
      <w:pPr>
        <w:tabs>
          <w:tab w:val="left" w:pos="760"/>
        </w:tabs>
        <w:spacing w:after="0" w:line="284" w:lineRule="auto"/>
        <w:ind w:left="761" w:right="80" w:hanging="624"/>
        <w:rPr>
          <w:rFonts w:ascii="Arial" w:eastAsia="Arial" w:hAnsi="Arial" w:cs="Arial"/>
        </w:rPr>
      </w:pPr>
      <w:hyperlink w:anchor="Appendix1" w:history="1">
        <w:r w:rsidR="00BE4C61" w:rsidRPr="009C1DDB">
          <w:rPr>
            <w:rStyle w:val="Hyperlink"/>
            <w:rFonts w:ascii="Arial" w:eastAsia="Arial" w:hAnsi="Arial" w:cs="Arial"/>
          </w:rPr>
          <w:t>Appendix 1: Glossary of terms</w:t>
        </w:r>
      </w:hyperlink>
    </w:p>
    <w:p w14:paraId="3EF27625" w14:textId="77777777" w:rsidR="00BE4C61" w:rsidRDefault="00BE4C61" w:rsidP="00BE4C61">
      <w:pPr>
        <w:spacing w:before="5" w:after="0" w:line="110" w:lineRule="exact"/>
        <w:rPr>
          <w:sz w:val="11"/>
          <w:szCs w:val="11"/>
        </w:rPr>
      </w:pPr>
    </w:p>
    <w:p w14:paraId="76AB3D5C" w14:textId="77777777" w:rsidR="00BE4C61" w:rsidRDefault="00BE4C61" w:rsidP="00BE4C61">
      <w:pPr>
        <w:tabs>
          <w:tab w:val="left" w:pos="1260"/>
        </w:tabs>
        <w:spacing w:after="0" w:line="240" w:lineRule="auto"/>
        <w:ind w:left="1260" w:right="-20" w:hanging="329"/>
        <w:rPr>
          <w:rFonts w:ascii="Arial" w:eastAsia="Arial" w:hAnsi="Arial" w:cs="Arial"/>
        </w:rPr>
      </w:pPr>
      <w:r>
        <w:rPr>
          <w:rFonts w:ascii="Arial" w:eastAsia="Arial" w:hAnsi="Arial" w:cs="Arial"/>
          <w:color w:val="A7CA56"/>
        </w:rPr>
        <w:t>•</w:t>
      </w:r>
      <w:r>
        <w:rPr>
          <w:rFonts w:ascii="Arial" w:eastAsia="Arial" w:hAnsi="Arial" w:cs="Arial"/>
          <w:color w:val="A7CA56"/>
        </w:rPr>
        <w:tab/>
      </w:r>
      <w:r>
        <w:rPr>
          <w:rFonts w:ascii="Arial" w:eastAsia="Arial" w:hAnsi="Arial" w:cs="Arial"/>
          <w:b/>
          <w:bCs/>
          <w:color w:val="4D4D4F"/>
          <w:spacing w:val="-2"/>
        </w:rPr>
        <w:t>Topic</w:t>
      </w:r>
      <w:r>
        <w:rPr>
          <w:rFonts w:ascii="Arial" w:eastAsia="Arial" w:hAnsi="Arial" w:cs="Arial"/>
          <w:b/>
          <w:bCs/>
          <w:color w:val="4D4D4F"/>
        </w:rPr>
        <w:t>:</w:t>
      </w:r>
      <w:r>
        <w:rPr>
          <w:rFonts w:ascii="Arial" w:eastAsia="Arial" w:hAnsi="Arial" w:cs="Arial"/>
          <w:b/>
          <w:bCs/>
          <w:color w:val="4D4D4F"/>
          <w:spacing w:val="-4"/>
        </w:rPr>
        <w:t xml:space="preserve"> </w:t>
      </w:r>
      <w:r>
        <w:rPr>
          <w:rFonts w:ascii="Arial" w:eastAsia="Arial" w:hAnsi="Arial" w:cs="Arial"/>
          <w:i/>
          <w:color w:val="4D4D4F"/>
          <w:spacing w:val="-1"/>
        </w:rPr>
        <w:t>Disclosure of government grants</w:t>
      </w:r>
    </w:p>
    <w:p w14:paraId="225DDD0C" w14:textId="77777777" w:rsidR="00BE4C61" w:rsidRDefault="00BE4C61" w:rsidP="00BE4C61">
      <w:pPr>
        <w:spacing w:before="5" w:after="0" w:line="110" w:lineRule="exact"/>
        <w:rPr>
          <w:sz w:val="11"/>
          <w:szCs w:val="11"/>
        </w:rPr>
      </w:pPr>
    </w:p>
    <w:p w14:paraId="05F5DB1F" w14:textId="77777777" w:rsidR="00932874" w:rsidRDefault="0095190E">
      <w:pPr>
        <w:tabs>
          <w:tab w:val="left" w:pos="1260"/>
        </w:tabs>
        <w:spacing w:after="0" w:line="284" w:lineRule="auto"/>
        <w:ind w:left="1271" w:right="133" w:hanging="340"/>
        <w:rPr>
          <w:rFonts w:ascii="Arial" w:eastAsia="Arial" w:hAnsi="Arial" w:cs="Arial"/>
        </w:rPr>
      </w:pPr>
      <w:r>
        <w:rPr>
          <w:rFonts w:ascii="Arial" w:eastAsia="Arial" w:hAnsi="Arial" w:cs="Arial"/>
          <w:color w:val="A7CA56"/>
        </w:rPr>
        <w:t>•</w:t>
      </w:r>
      <w:r>
        <w:rPr>
          <w:rFonts w:ascii="Arial" w:eastAsia="Arial" w:hAnsi="Arial" w:cs="Arial"/>
          <w:color w:val="A7CA56"/>
        </w:rPr>
        <w:tab/>
      </w:r>
      <w:r w:rsidR="00266416">
        <w:rPr>
          <w:rFonts w:ascii="Arial" w:eastAsia="Arial" w:hAnsi="Arial" w:cs="Arial"/>
          <w:b/>
          <w:bCs/>
          <w:color w:val="4D4D4F"/>
          <w:spacing w:val="2"/>
        </w:rPr>
        <w:t>T</w:t>
      </w:r>
      <w:r>
        <w:rPr>
          <w:rFonts w:ascii="Arial" w:eastAsia="Arial" w:hAnsi="Arial" w:cs="Arial"/>
          <w:b/>
          <w:bCs/>
          <w:color w:val="4D4D4F"/>
          <w:spacing w:val="1"/>
        </w:rPr>
        <w:t>o</w:t>
      </w:r>
      <w:r w:rsidR="00266416">
        <w:rPr>
          <w:rFonts w:ascii="Arial" w:eastAsia="Arial" w:hAnsi="Arial" w:cs="Arial"/>
          <w:b/>
          <w:bCs/>
          <w:color w:val="4D4D4F"/>
          <w:spacing w:val="1"/>
        </w:rPr>
        <w:t xml:space="preserve">pic: </w:t>
      </w:r>
      <w:r w:rsidR="00266416" w:rsidRPr="00266416">
        <w:rPr>
          <w:rFonts w:ascii="Arial" w:eastAsia="Arial" w:hAnsi="Arial" w:cs="Arial"/>
          <w:i/>
          <w:color w:val="4D4D4F"/>
        </w:rPr>
        <w:t>Definition of a larger charity</w:t>
      </w:r>
    </w:p>
    <w:p w14:paraId="43E3EBDC" w14:textId="77777777" w:rsidR="00266416" w:rsidRDefault="00266416" w:rsidP="00266416">
      <w:pPr>
        <w:spacing w:before="5" w:after="0" w:line="110" w:lineRule="exact"/>
        <w:rPr>
          <w:sz w:val="11"/>
          <w:szCs w:val="11"/>
        </w:rPr>
      </w:pPr>
    </w:p>
    <w:p w14:paraId="19DC2839" w14:textId="77777777" w:rsidR="00266416" w:rsidRDefault="001521D2" w:rsidP="00266416">
      <w:pPr>
        <w:tabs>
          <w:tab w:val="left" w:pos="760"/>
        </w:tabs>
        <w:spacing w:after="0" w:line="284" w:lineRule="auto"/>
        <w:ind w:left="761" w:right="80" w:hanging="624"/>
        <w:rPr>
          <w:rFonts w:ascii="Arial" w:eastAsia="Arial" w:hAnsi="Arial" w:cs="Arial"/>
        </w:rPr>
      </w:pPr>
      <w:hyperlink w:anchor="Appendix3" w:history="1">
        <w:r w:rsidR="00266416" w:rsidRPr="009C1DDB">
          <w:rPr>
            <w:rStyle w:val="Hyperlink"/>
            <w:rFonts w:ascii="Arial" w:eastAsia="Arial" w:hAnsi="Arial" w:cs="Arial"/>
          </w:rPr>
          <w:t>Appendix 3: Thresholds for the UK and the Republic of Ireland</w:t>
        </w:r>
      </w:hyperlink>
    </w:p>
    <w:p w14:paraId="2DFFC942" w14:textId="77777777" w:rsidR="00266416" w:rsidRDefault="00266416" w:rsidP="00266416">
      <w:pPr>
        <w:spacing w:before="5" w:after="0" w:line="110" w:lineRule="exact"/>
        <w:rPr>
          <w:sz w:val="11"/>
          <w:szCs w:val="11"/>
        </w:rPr>
      </w:pPr>
    </w:p>
    <w:p w14:paraId="48D8A572" w14:textId="77777777" w:rsidR="00266416" w:rsidRPr="00013C77" w:rsidRDefault="00266416" w:rsidP="00266416">
      <w:pPr>
        <w:tabs>
          <w:tab w:val="left" w:pos="1260"/>
        </w:tabs>
        <w:spacing w:after="0" w:line="240" w:lineRule="auto"/>
        <w:ind w:left="1260" w:right="-20" w:hanging="329"/>
        <w:rPr>
          <w:rFonts w:ascii="Arial" w:eastAsia="Arial" w:hAnsi="Arial" w:cs="Arial"/>
        </w:rPr>
      </w:pPr>
      <w:r>
        <w:rPr>
          <w:rFonts w:ascii="Arial" w:eastAsia="Arial" w:hAnsi="Arial" w:cs="Arial"/>
          <w:color w:val="A7CA56"/>
        </w:rPr>
        <w:t>•</w:t>
      </w:r>
      <w:r>
        <w:rPr>
          <w:rFonts w:ascii="Arial" w:eastAsia="Arial" w:hAnsi="Arial" w:cs="Arial"/>
          <w:color w:val="A7CA56"/>
        </w:rPr>
        <w:tab/>
      </w:r>
      <w:r>
        <w:rPr>
          <w:rFonts w:ascii="Arial" w:eastAsia="Arial" w:hAnsi="Arial" w:cs="Arial"/>
          <w:b/>
          <w:bCs/>
          <w:color w:val="4D4D4F"/>
          <w:spacing w:val="-2"/>
        </w:rPr>
        <w:t>Topic</w:t>
      </w:r>
      <w:r>
        <w:rPr>
          <w:rFonts w:ascii="Arial" w:eastAsia="Arial" w:hAnsi="Arial" w:cs="Arial"/>
          <w:b/>
          <w:bCs/>
          <w:color w:val="4D4D4F"/>
        </w:rPr>
        <w:t>:</w:t>
      </w:r>
      <w:r>
        <w:rPr>
          <w:rFonts w:ascii="Arial" w:eastAsia="Arial" w:hAnsi="Arial" w:cs="Arial"/>
          <w:b/>
          <w:bCs/>
          <w:color w:val="4D4D4F"/>
          <w:spacing w:val="-4"/>
        </w:rPr>
        <w:t xml:space="preserve"> </w:t>
      </w:r>
      <w:r w:rsidRPr="00266416">
        <w:rPr>
          <w:rFonts w:ascii="Arial" w:eastAsia="Arial" w:hAnsi="Arial" w:cs="Arial"/>
          <w:i/>
          <w:color w:val="4D4D4F"/>
          <w:spacing w:val="-1"/>
        </w:rPr>
        <w:t>Topic: Thresholds for charities reporting in the Northern Ireland under the Charities (Accounts and Reports) Regulations (Northern Ireland) 2015 and the Charities Act 2008 (Substitution of Sums) Order (Northern Ireland) 2015</w:t>
      </w:r>
      <w:r w:rsidR="008B1B1A">
        <w:rPr>
          <w:rFonts w:ascii="Arial" w:eastAsia="Arial" w:hAnsi="Arial" w:cs="Arial"/>
          <w:color w:val="4D4D4F"/>
          <w:spacing w:val="-1"/>
        </w:rPr>
        <w:t xml:space="preserve"> – </w:t>
      </w:r>
      <w:r w:rsidR="00013C77">
        <w:rPr>
          <w:rFonts w:ascii="Arial" w:eastAsia="Arial" w:hAnsi="Arial" w:cs="Arial"/>
          <w:color w:val="4D4D4F"/>
          <w:spacing w:val="-1"/>
        </w:rPr>
        <w:t>Northern Ireland only</w:t>
      </w:r>
    </w:p>
    <w:p w14:paraId="3A4FD04B" w14:textId="77777777" w:rsidR="00932874" w:rsidRDefault="00932874">
      <w:pPr>
        <w:tabs>
          <w:tab w:val="left" w:pos="1260"/>
        </w:tabs>
        <w:spacing w:after="0" w:line="240" w:lineRule="auto"/>
        <w:ind w:left="931" w:right="-20"/>
        <w:rPr>
          <w:rFonts w:ascii="Arial" w:eastAsia="Arial" w:hAnsi="Arial" w:cs="Arial"/>
        </w:rPr>
      </w:pPr>
    </w:p>
    <w:p w14:paraId="22F6AAD5" w14:textId="77777777" w:rsidR="00932874" w:rsidRDefault="00932874">
      <w:pPr>
        <w:spacing w:after="0"/>
        <w:sectPr w:rsidR="00932874">
          <w:pgSz w:w="11920" w:h="16840"/>
          <w:pgMar w:top="780" w:right="1320" w:bottom="880" w:left="1280" w:header="547" w:footer="692" w:gutter="0"/>
          <w:cols w:space="720"/>
        </w:sectPr>
      </w:pPr>
    </w:p>
    <w:p w14:paraId="6C048232" w14:textId="77777777" w:rsidR="00932874" w:rsidRDefault="00932874">
      <w:pPr>
        <w:spacing w:before="7" w:after="0" w:line="140" w:lineRule="exact"/>
        <w:rPr>
          <w:sz w:val="14"/>
          <w:szCs w:val="14"/>
        </w:rPr>
      </w:pPr>
    </w:p>
    <w:p w14:paraId="0403A9AF" w14:textId="77777777" w:rsidR="00932874" w:rsidRDefault="00932874">
      <w:pPr>
        <w:spacing w:after="0" w:line="200" w:lineRule="exact"/>
        <w:rPr>
          <w:sz w:val="20"/>
          <w:szCs w:val="20"/>
        </w:rPr>
      </w:pPr>
    </w:p>
    <w:p w14:paraId="1B91593F" w14:textId="77777777" w:rsidR="00932874" w:rsidRDefault="00932874">
      <w:pPr>
        <w:spacing w:after="0" w:line="200" w:lineRule="exact"/>
        <w:rPr>
          <w:sz w:val="20"/>
          <w:szCs w:val="20"/>
        </w:rPr>
      </w:pPr>
    </w:p>
    <w:p w14:paraId="321981FB" w14:textId="77777777" w:rsidR="00A476FC" w:rsidRDefault="00A476FC" w:rsidP="00A476FC">
      <w:pPr>
        <w:spacing w:before="24" w:after="0" w:line="240" w:lineRule="auto"/>
        <w:ind w:left="137" w:right="-20"/>
        <w:rPr>
          <w:rFonts w:ascii="Arial" w:eastAsia="Arial" w:hAnsi="Arial" w:cs="Arial"/>
          <w:sz w:val="28"/>
          <w:szCs w:val="28"/>
        </w:rPr>
      </w:pPr>
      <w:bookmarkStart w:id="1" w:name="ScopeAndApplication"/>
      <w:bookmarkEnd w:id="1"/>
      <w:r w:rsidRPr="00A476FC">
        <w:rPr>
          <w:rFonts w:ascii="Arial" w:eastAsia="Arial" w:hAnsi="Arial" w:cs="Arial"/>
          <w:color w:val="98C43D"/>
          <w:spacing w:val="-1"/>
          <w:sz w:val="28"/>
          <w:szCs w:val="28"/>
        </w:rPr>
        <w:t>Accounting and reporting by charities: the statement of recommended practice (SORP) – scope and application</w:t>
      </w:r>
    </w:p>
    <w:p w14:paraId="179C4796" w14:textId="77777777" w:rsidR="00932874" w:rsidRDefault="007B0B92" w:rsidP="007B0B92">
      <w:pPr>
        <w:spacing w:before="14" w:after="0" w:line="240" w:lineRule="auto"/>
        <w:ind w:right="-20"/>
        <w:rPr>
          <w:sz w:val="26"/>
          <w:szCs w:val="26"/>
        </w:rPr>
      </w:pPr>
      <w:r>
        <w:rPr>
          <w:noProof/>
          <w:lang w:val="en-GB" w:eastAsia="en-GB"/>
        </w:rPr>
        <mc:AlternateContent>
          <mc:Choice Requires="wpg">
            <w:drawing>
              <wp:anchor distT="0" distB="0" distL="114300" distR="114300" simplePos="0" relativeHeight="251657216" behindDoc="1" locked="0" layoutInCell="1" allowOverlap="1" wp14:anchorId="05A2237D" wp14:editId="383820DE">
                <wp:simplePos x="0" y="0"/>
                <wp:positionH relativeFrom="page">
                  <wp:posOffset>887095</wp:posOffset>
                </wp:positionH>
                <wp:positionV relativeFrom="paragraph">
                  <wp:posOffset>37796</wp:posOffset>
                </wp:positionV>
                <wp:extent cx="5760085" cy="1270"/>
                <wp:effectExtent l="0" t="0" r="12065" b="17780"/>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395"/>
                          <a:chExt cx="9071" cy="2"/>
                        </a:xfrm>
                      </wpg:grpSpPr>
                      <wps:wsp>
                        <wps:cNvPr id="18" name="Freeform 11"/>
                        <wps:cNvSpPr>
                          <a:spLocks/>
                        </wps:cNvSpPr>
                        <wps:spPr bwMode="auto">
                          <a:xfrm>
                            <a:off x="1417" y="39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AB337" id="Group 10" o:spid="_x0000_s1026" style="position:absolute;margin-left:69.85pt;margin-top:3pt;width:453.55pt;height:.1pt;z-index:-251659264;mso-position-horizontal-relative:page" coordorigin="1417,39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">
                <v:shape id="Freeform 11" o:spid="_x0000_s1027" style="position:absolute;left:1417;top:39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FMYA&#10;AADbAAAADwAAAGRycy9kb3ducmV2LnhtbESPT0vDQBDF74LfYRmhN7tpoSKx2yJqiwcV+kfa3obs&#10;dBPNzobsmsRv7xyE3mZ4b977zXw5+Fp11MYqsIHJOANFXARbsTOw361u70HFhGyxDkwGfinCcnF9&#10;Ncfchp431G2TUxLCMUcDZUpNrnUsSvIYx6EhFu0cWo9J1tZp22Iv4b7W0yy70x4rloYSG3oqqfje&#10;/ngDM/d1TOvd4aN33Tud3maT55fu05jRzfD4ACrRkC7m/+tXK/gCK7/IA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V/FM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p>
    <w:p w14:paraId="61731151" w14:textId="38118B90" w:rsidR="00932874" w:rsidRDefault="00D432D1" w:rsidP="00D432D1">
      <w:pPr>
        <w:spacing w:after="0" w:line="240" w:lineRule="auto"/>
        <w:ind w:left="137" w:right="-20"/>
        <w:rPr>
          <w:rFonts w:ascii="Arial" w:eastAsia="Arial" w:hAnsi="Arial" w:cs="Arial"/>
          <w:sz w:val="24"/>
          <w:szCs w:val="24"/>
        </w:rPr>
      </w:pPr>
      <w:r>
        <w:rPr>
          <w:rFonts w:ascii="Arial" w:eastAsia="Arial" w:hAnsi="Arial" w:cs="Arial"/>
          <w:b/>
          <w:bCs/>
          <w:color w:val="4D4D4F"/>
          <w:spacing w:val="-3"/>
          <w:sz w:val="24"/>
          <w:szCs w:val="24"/>
        </w:rPr>
        <w:t xml:space="preserve">Topic: </w:t>
      </w:r>
      <w:r w:rsidR="00A84686">
        <w:rPr>
          <w:rFonts w:ascii="Arial" w:eastAsia="Arial" w:hAnsi="Arial" w:cs="Arial"/>
          <w:b/>
          <w:bCs/>
          <w:i/>
          <w:color w:val="4D4D4F"/>
          <w:spacing w:val="-3"/>
          <w:sz w:val="24"/>
          <w:szCs w:val="24"/>
        </w:rPr>
        <w:t>E</w:t>
      </w:r>
      <w:r w:rsidRPr="00D432D1">
        <w:rPr>
          <w:rFonts w:ascii="Arial" w:eastAsia="Arial" w:hAnsi="Arial" w:cs="Arial"/>
          <w:b/>
          <w:bCs/>
          <w:i/>
          <w:color w:val="4D4D4F"/>
          <w:spacing w:val="-3"/>
          <w:sz w:val="24"/>
          <w:szCs w:val="24"/>
        </w:rPr>
        <w:t>xemption from</w:t>
      </w:r>
      <w:r w:rsidR="00A84686">
        <w:rPr>
          <w:rFonts w:ascii="Arial" w:eastAsia="Arial" w:hAnsi="Arial" w:cs="Arial"/>
          <w:b/>
          <w:bCs/>
          <w:i/>
          <w:color w:val="4D4D4F"/>
          <w:spacing w:val="-3"/>
          <w:sz w:val="24"/>
          <w:szCs w:val="24"/>
        </w:rPr>
        <w:t xml:space="preserve"> preparing a cash flow statement in the individual accounts of a qualifying entity</w:t>
      </w:r>
    </w:p>
    <w:p w14:paraId="166C49BD" w14:textId="77777777" w:rsidR="00932874" w:rsidRDefault="00932874">
      <w:pPr>
        <w:spacing w:before="6" w:after="0" w:line="150" w:lineRule="exact"/>
        <w:rPr>
          <w:sz w:val="15"/>
          <w:szCs w:val="15"/>
        </w:rPr>
      </w:pPr>
    </w:p>
    <w:p w14:paraId="53558E0F" w14:textId="77777777" w:rsidR="00932874" w:rsidRDefault="00D432D1">
      <w:pPr>
        <w:tabs>
          <w:tab w:val="left" w:pos="760"/>
        </w:tabs>
        <w:spacing w:after="0" w:line="240" w:lineRule="auto"/>
        <w:ind w:left="137" w:right="-20"/>
        <w:rPr>
          <w:rFonts w:ascii="Arial" w:eastAsia="Arial" w:hAnsi="Arial" w:cs="Arial"/>
        </w:rPr>
      </w:pPr>
      <w:r>
        <w:rPr>
          <w:rFonts w:ascii="Arial" w:eastAsia="Arial" w:hAnsi="Arial" w:cs="Arial"/>
          <w:color w:val="4D4D4F"/>
          <w:spacing w:val="-3"/>
        </w:rPr>
        <w:t xml:space="preserve">FRS 102 allows entities which meet the definition of a ‘qualifying entity’ to take advantage </w:t>
      </w:r>
      <w:r w:rsidR="002D265C">
        <w:rPr>
          <w:rFonts w:ascii="Arial" w:eastAsia="Arial" w:hAnsi="Arial" w:cs="Arial"/>
          <w:color w:val="4D4D4F"/>
          <w:spacing w:val="-3"/>
        </w:rPr>
        <w:t>of the exemption to prepare a cash flow statement.</w:t>
      </w:r>
    </w:p>
    <w:p w14:paraId="1437AA59" w14:textId="77777777" w:rsidR="00932874" w:rsidRDefault="00932874">
      <w:pPr>
        <w:spacing w:after="0" w:line="160" w:lineRule="exact"/>
        <w:rPr>
          <w:sz w:val="16"/>
          <w:szCs w:val="16"/>
        </w:rPr>
      </w:pPr>
    </w:p>
    <w:p w14:paraId="368EC417" w14:textId="77777777" w:rsidR="00932874" w:rsidRDefault="002D265C">
      <w:pPr>
        <w:tabs>
          <w:tab w:val="left" w:pos="760"/>
        </w:tabs>
        <w:spacing w:after="0" w:line="240" w:lineRule="auto"/>
        <w:ind w:left="137" w:right="-20"/>
        <w:rPr>
          <w:rFonts w:ascii="Arial" w:eastAsia="Arial" w:hAnsi="Arial" w:cs="Arial"/>
        </w:rPr>
      </w:pPr>
      <w:r w:rsidRPr="002D265C">
        <w:rPr>
          <w:rFonts w:ascii="Arial" w:eastAsia="Arial" w:hAnsi="Arial" w:cs="Arial"/>
          <w:color w:val="4D4D4F"/>
        </w:rPr>
        <w:t>A ‘qualifying entity’ is defined in the glossary of FRS 102 as:</w:t>
      </w:r>
    </w:p>
    <w:p w14:paraId="1E058332" w14:textId="77777777" w:rsidR="00932874" w:rsidRDefault="00932874">
      <w:pPr>
        <w:spacing w:after="0" w:line="160" w:lineRule="exact"/>
        <w:rPr>
          <w:sz w:val="16"/>
          <w:szCs w:val="16"/>
        </w:rPr>
      </w:pPr>
    </w:p>
    <w:p w14:paraId="5486CAA9" w14:textId="77777777" w:rsidR="00932874" w:rsidRDefault="002D265C" w:rsidP="002D265C">
      <w:pPr>
        <w:tabs>
          <w:tab w:val="left" w:pos="1380"/>
        </w:tabs>
        <w:spacing w:after="0" w:line="284" w:lineRule="auto"/>
        <w:ind w:left="1385" w:right="49" w:hanging="624"/>
        <w:rPr>
          <w:rFonts w:ascii="Arial" w:eastAsia="Arial" w:hAnsi="Arial" w:cs="Arial"/>
          <w:i/>
          <w:color w:val="4D4D4F"/>
        </w:rPr>
      </w:pPr>
      <w:r>
        <w:rPr>
          <w:rFonts w:ascii="Arial" w:eastAsia="Arial" w:hAnsi="Arial" w:cs="Arial"/>
          <w:color w:val="4D4D4F"/>
        </w:rPr>
        <w:tab/>
      </w:r>
      <w:r w:rsidRPr="002D265C">
        <w:rPr>
          <w:rFonts w:ascii="Arial" w:eastAsia="Arial" w:hAnsi="Arial" w:cs="Arial"/>
          <w:i/>
          <w:color w:val="4D4D4F"/>
        </w:rPr>
        <w:t>A member of a group where the parent of that group prepares publicly available consolidated financial statements which are intended to give a true and fair view (of the assets, liabilities, financial position and profit or loss) and that member is included in the consolidation</w:t>
      </w:r>
    </w:p>
    <w:p w14:paraId="5219A9C2" w14:textId="77777777" w:rsidR="002D265C" w:rsidRDefault="002D265C" w:rsidP="002D265C">
      <w:pPr>
        <w:spacing w:after="0" w:line="160" w:lineRule="exact"/>
        <w:rPr>
          <w:sz w:val="16"/>
          <w:szCs w:val="16"/>
        </w:rPr>
      </w:pPr>
    </w:p>
    <w:p w14:paraId="3D9254B0" w14:textId="77777777" w:rsidR="002D265C" w:rsidRDefault="002D265C" w:rsidP="002D265C">
      <w:pPr>
        <w:tabs>
          <w:tab w:val="left" w:pos="760"/>
        </w:tabs>
        <w:spacing w:after="0" w:line="240" w:lineRule="auto"/>
        <w:ind w:left="137" w:right="-20"/>
        <w:rPr>
          <w:rFonts w:ascii="Arial" w:eastAsia="Arial" w:hAnsi="Arial" w:cs="Arial"/>
          <w:color w:val="4D4D4F"/>
        </w:rPr>
      </w:pPr>
      <w:r w:rsidRPr="002D265C">
        <w:rPr>
          <w:rFonts w:ascii="Arial" w:eastAsia="Arial" w:hAnsi="Arial" w:cs="Arial"/>
          <w:color w:val="4D4D4F"/>
        </w:rPr>
        <w:t>This definition includes both subsidiaries and parent entities with reference to their individual financial statements</w:t>
      </w:r>
      <w:r>
        <w:rPr>
          <w:rFonts w:ascii="Arial" w:eastAsia="Arial" w:hAnsi="Arial" w:cs="Arial"/>
          <w:color w:val="4D4D4F"/>
        </w:rPr>
        <w:t>.</w:t>
      </w:r>
    </w:p>
    <w:p w14:paraId="31C7BC47" w14:textId="77777777" w:rsidR="002D265C" w:rsidRDefault="002D265C" w:rsidP="002D265C">
      <w:pPr>
        <w:tabs>
          <w:tab w:val="left" w:pos="760"/>
        </w:tabs>
        <w:spacing w:after="0" w:line="240" w:lineRule="auto"/>
        <w:ind w:left="137" w:right="-20"/>
        <w:rPr>
          <w:rFonts w:ascii="Arial" w:eastAsia="Arial" w:hAnsi="Arial" w:cs="Arial"/>
          <w:color w:val="4D4D4F"/>
        </w:rPr>
      </w:pPr>
    </w:p>
    <w:p w14:paraId="568ECF8D" w14:textId="18295902" w:rsidR="002D265C" w:rsidRDefault="002D265C" w:rsidP="002D265C">
      <w:pPr>
        <w:tabs>
          <w:tab w:val="left" w:pos="760"/>
        </w:tabs>
        <w:spacing w:after="0" w:line="240" w:lineRule="auto"/>
        <w:ind w:left="137" w:right="-20"/>
        <w:rPr>
          <w:rFonts w:ascii="Arial" w:eastAsia="Arial" w:hAnsi="Arial" w:cs="Arial"/>
          <w:color w:val="4D4D4F"/>
        </w:rPr>
      </w:pPr>
      <w:r w:rsidRPr="002D265C">
        <w:rPr>
          <w:rFonts w:ascii="Arial" w:eastAsia="Arial" w:hAnsi="Arial" w:cs="Arial"/>
          <w:color w:val="4D4D4F"/>
        </w:rPr>
        <w:t>In line with paragraph 24 of the S</w:t>
      </w:r>
      <w:r w:rsidRPr="007837FD">
        <w:rPr>
          <w:rFonts w:ascii="Arial" w:eastAsia="Arial" w:hAnsi="Arial" w:cs="Arial"/>
          <w:color w:val="4D4D4F"/>
        </w:rPr>
        <w:t>O</w:t>
      </w:r>
      <w:r w:rsidRPr="002D265C">
        <w:rPr>
          <w:rFonts w:ascii="Arial" w:eastAsia="Arial" w:hAnsi="Arial" w:cs="Arial"/>
          <w:color w:val="4D4D4F"/>
        </w:rPr>
        <w:t xml:space="preserve">RP, </w:t>
      </w:r>
      <w:r w:rsidR="00F77C03">
        <w:rPr>
          <w:rFonts w:ascii="Arial" w:eastAsia="Arial" w:hAnsi="Arial" w:cs="Arial"/>
          <w:color w:val="4D4D4F"/>
        </w:rPr>
        <w:t xml:space="preserve">under the headings ‘Choice of accounts </w:t>
      </w:r>
      <w:r w:rsidR="00EF0EBE">
        <w:rPr>
          <w:rFonts w:ascii="Arial" w:eastAsia="Arial" w:hAnsi="Arial" w:cs="Arial"/>
          <w:color w:val="4D4D4F"/>
        </w:rPr>
        <w:t>preparation</w:t>
      </w:r>
      <w:r w:rsidR="00F77C03">
        <w:rPr>
          <w:rFonts w:ascii="Arial" w:eastAsia="Arial" w:hAnsi="Arial" w:cs="Arial"/>
          <w:color w:val="4D4D4F"/>
        </w:rPr>
        <w:t xml:space="preserve"> methods’, </w:t>
      </w:r>
      <w:r w:rsidRPr="002D265C">
        <w:rPr>
          <w:rFonts w:ascii="Arial" w:eastAsia="Arial" w:hAnsi="Arial" w:cs="Arial"/>
          <w:color w:val="4D4D4F"/>
        </w:rPr>
        <w:t>a charity can only take advantage of this disclosure exemption if eligible to do so and where the disclosures required by Module 9 of the SORP (Disclosure of trustee and staff remuneration and related party and other transactions) are made.</w:t>
      </w:r>
    </w:p>
    <w:p w14:paraId="3FBD334F" w14:textId="77777777" w:rsidR="002D265C" w:rsidRDefault="002D265C" w:rsidP="002D265C">
      <w:pPr>
        <w:spacing w:after="0" w:line="160" w:lineRule="exact"/>
        <w:rPr>
          <w:sz w:val="16"/>
          <w:szCs w:val="16"/>
        </w:rPr>
      </w:pPr>
    </w:p>
    <w:p w14:paraId="2106804A" w14:textId="52014D8C" w:rsidR="00F77C03" w:rsidRDefault="00F77C03" w:rsidP="00324449">
      <w:pPr>
        <w:tabs>
          <w:tab w:val="left" w:pos="760"/>
        </w:tabs>
        <w:spacing w:after="0" w:line="240" w:lineRule="auto"/>
        <w:ind w:left="137" w:right="-20"/>
        <w:rPr>
          <w:rFonts w:ascii="Arial" w:eastAsia="Arial" w:hAnsi="Arial" w:cs="Arial"/>
          <w:color w:val="4D4D4F"/>
        </w:rPr>
      </w:pPr>
      <w:r w:rsidRPr="00F77C03">
        <w:rPr>
          <w:rFonts w:ascii="Arial" w:eastAsia="Arial" w:hAnsi="Arial" w:cs="Arial"/>
          <w:color w:val="4D4D4F"/>
        </w:rPr>
        <w:t xml:space="preserve">A parent charity that prepares publicly available consolidated financial statements in accordance with FRS 102 meets the definition of a qualifying entity. Therefore, subject to making the disclosures above, the parent </w:t>
      </w:r>
      <w:r w:rsidR="004B43B3">
        <w:rPr>
          <w:rFonts w:ascii="Arial" w:eastAsia="Arial" w:hAnsi="Arial" w:cs="Arial"/>
          <w:color w:val="4D4D4F"/>
        </w:rPr>
        <w:t>charity</w:t>
      </w:r>
      <w:r w:rsidRPr="00F77C03">
        <w:rPr>
          <w:rFonts w:ascii="Arial" w:eastAsia="Arial" w:hAnsi="Arial" w:cs="Arial"/>
          <w:color w:val="4D4D4F"/>
        </w:rPr>
        <w:t xml:space="preserve"> is </w:t>
      </w:r>
      <w:r w:rsidR="00224C80">
        <w:rPr>
          <w:rFonts w:ascii="Arial" w:eastAsia="Arial" w:hAnsi="Arial" w:cs="Arial"/>
          <w:color w:val="4D4D4F"/>
        </w:rPr>
        <w:t xml:space="preserve">exempt from preparing </w:t>
      </w:r>
      <w:r w:rsidRPr="00F77C03">
        <w:rPr>
          <w:rFonts w:ascii="Arial" w:eastAsia="Arial" w:hAnsi="Arial" w:cs="Arial"/>
          <w:color w:val="4D4D4F"/>
        </w:rPr>
        <w:t>a cash flow statement in it</w:t>
      </w:r>
      <w:r>
        <w:rPr>
          <w:rFonts w:ascii="Arial" w:eastAsia="Arial" w:hAnsi="Arial" w:cs="Arial"/>
          <w:color w:val="4D4D4F"/>
        </w:rPr>
        <w:t>s</w:t>
      </w:r>
      <w:r w:rsidRPr="00F77C03">
        <w:rPr>
          <w:rFonts w:ascii="Arial" w:eastAsia="Arial" w:hAnsi="Arial" w:cs="Arial"/>
          <w:color w:val="4D4D4F"/>
        </w:rPr>
        <w:t xml:space="preserve"> individual financial statements that</w:t>
      </w:r>
      <w:r>
        <w:rPr>
          <w:rFonts w:ascii="Arial" w:eastAsia="Arial" w:hAnsi="Arial" w:cs="Arial"/>
          <w:color w:val="4D4D4F"/>
        </w:rPr>
        <w:t xml:space="preserve"> are</w:t>
      </w:r>
      <w:r w:rsidRPr="00F77C03">
        <w:rPr>
          <w:rFonts w:ascii="Arial" w:eastAsia="Arial" w:hAnsi="Arial" w:cs="Arial"/>
          <w:color w:val="4D4D4F"/>
        </w:rPr>
        <w:t xml:space="preserve"> presented alongside its consolidated financial statements</w:t>
      </w:r>
      <w:r>
        <w:rPr>
          <w:rFonts w:ascii="Arial" w:eastAsia="Arial" w:hAnsi="Arial" w:cs="Arial"/>
          <w:color w:val="4D4D4F"/>
        </w:rPr>
        <w:t>.</w:t>
      </w:r>
      <w:r w:rsidR="00224C80">
        <w:rPr>
          <w:rFonts w:ascii="Arial" w:eastAsia="Arial" w:hAnsi="Arial" w:cs="Arial"/>
          <w:color w:val="4D4D4F"/>
        </w:rPr>
        <w:t xml:space="preserve"> </w:t>
      </w:r>
      <w:r w:rsidR="00224C80" w:rsidRPr="00224C80">
        <w:rPr>
          <w:rFonts w:ascii="Arial" w:eastAsia="Arial" w:hAnsi="Arial" w:cs="Arial"/>
          <w:color w:val="4D4D4F"/>
        </w:rPr>
        <w:t>Similarly, a subsidiary</w:t>
      </w:r>
      <w:r w:rsidR="002A4D95">
        <w:rPr>
          <w:rFonts w:ascii="Arial" w:eastAsia="Arial" w:hAnsi="Arial" w:cs="Arial"/>
          <w:color w:val="4D4D4F"/>
        </w:rPr>
        <w:t xml:space="preserve"> </w:t>
      </w:r>
      <w:r w:rsidR="004B43B3">
        <w:rPr>
          <w:rFonts w:ascii="Arial" w:eastAsia="Arial" w:hAnsi="Arial" w:cs="Arial"/>
          <w:color w:val="4D4D4F"/>
        </w:rPr>
        <w:t>charity</w:t>
      </w:r>
      <w:r w:rsidR="00224C80" w:rsidRPr="00224C80">
        <w:rPr>
          <w:rFonts w:ascii="Arial" w:eastAsia="Arial" w:hAnsi="Arial" w:cs="Arial"/>
          <w:color w:val="4D4D4F"/>
        </w:rPr>
        <w:t xml:space="preserve"> is exempt from preparing a cash flow statement in its individual financial statements, where </w:t>
      </w:r>
      <w:r w:rsidR="002A4D95">
        <w:rPr>
          <w:rFonts w:ascii="Arial" w:eastAsia="Arial" w:hAnsi="Arial" w:cs="Arial"/>
          <w:color w:val="4D4D4F"/>
        </w:rPr>
        <w:t>this</w:t>
      </w:r>
      <w:r w:rsidR="00224C80" w:rsidRPr="00224C80">
        <w:rPr>
          <w:rFonts w:ascii="Arial" w:eastAsia="Arial" w:hAnsi="Arial" w:cs="Arial"/>
          <w:color w:val="4D4D4F"/>
        </w:rPr>
        <w:t xml:space="preserve"> statement </w:t>
      </w:r>
      <w:r w:rsidR="002A4D95">
        <w:rPr>
          <w:rFonts w:ascii="Arial" w:eastAsia="Arial" w:hAnsi="Arial" w:cs="Arial"/>
          <w:color w:val="4D4D4F"/>
        </w:rPr>
        <w:t>is</w:t>
      </w:r>
      <w:r w:rsidR="00224C80" w:rsidRPr="00224C80">
        <w:rPr>
          <w:rFonts w:ascii="Arial" w:eastAsia="Arial" w:hAnsi="Arial" w:cs="Arial"/>
          <w:color w:val="4D4D4F"/>
        </w:rPr>
        <w:t xml:space="preserve"> included in the consolidated financial statements of the parent.</w:t>
      </w:r>
      <w:r w:rsidR="005C6099">
        <w:rPr>
          <w:rStyle w:val="FootnoteReference"/>
          <w:rFonts w:ascii="Arial" w:eastAsia="Arial" w:hAnsi="Arial" w:cs="Arial"/>
          <w:color w:val="4D4D4F"/>
        </w:rPr>
        <w:footnoteReference w:id="1"/>
      </w:r>
    </w:p>
    <w:p w14:paraId="4A0A73F3" w14:textId="77777777" w:rsidR="001634C5" w:rsidRPr="001428A5" w:rsidRDefault="001634C5" w:rsidP="001634C5">
      <w:pPr>
        <w:spacing w:after="0" w:line="200" w:lineRule="exact"/>
        <w:rPr>
          <w:sz w:val="11"/>
          <w:szCs w:val="11"/>
        </w:rPr>
      </w:pPr>
    </w:p>
    <w:p w14:paraId="0E0F116A" w14:textId="360D7947" w:rsidR="00324449" w:rsidRDefault="00EB6033" w:rsidP="00324449">
      <w:pPr>
        <w:tabs>
          <w:tab w:val="left" w:pos="760"/>
        </w:tabs>
        <w:spacing w:after="0" w:line="240" w:lineRule="auto"/>
        <w:ind w:left="137" w:right="-20"/>
        <w:rPr>
          <w:rFonts w:ascii="Arial" w:eastAsia="Arial" w:hAnsi="Arial" w:cs="Arial"/>
          <w:color w:val="4D4D4F"/>
        </w:rPr>
      </w:pPr>
      <w:r>
        <w:rPr>
          <w:rFonts w:ascii="Arial" w:eastAsia="Arial" w:hAnsi="Arial" w:cs="Arial"/>
          <w:color w:val="4D4D4F"/>
        </w:rPr>
        <w:t xml:space="preserve">Parent and subsidiary </w:t>
      </w:r>
      <w:r w:rsidR="004B43B3">
        <w:rPr>
          <w:rFonts w:ascii="Arial" w:eastAsia="Arial" w:hAnsi="Arial" w:cs="Arial"/>
          <w:color w:val="4D4D4F"/>
        </w:rPr>
        <w:t>charities</w:t>
      </w:r>
      <w:r>
        <w:rPr>
          <w:rFonts w:ascii="Arial" w:eastAsia="Arial" w:hAnsi="Arial" w:cs="Arial"/>
          <w:color w:val="4D4D4F"/>
        </w:rPr>
        <w:t xml:space="preserve"> that wish to take advantage of the disclosure exemption must </w:t>
      </w:r>
      <w:r w:rsidR="00324449" w:rsidRPr="00324449">
        <w:rPr>
          <w:rFonts w:ascii="Arial" w:eastAsia="Arial" w:hAnsi="Arial" w:cs="Arial"/>
          <w:color w:val="4D4D4F"/>
        </w:rPr>
        <w:t xml:space="preserve">also ensure the </w:t>
      </w:r>
      <w:r w:rsidR="00F77C03">
        <w:rPr>
          <w:rFonts w:ascii="Arial" w:eastAsia="Arial" w:hAnsi="Arial" w:cs="Arial"/>
          <w:color w:val="4D4D4F"/>
        </w:rPr>
        <w:t xml:space="preserve">relevant </w:t>
      </w:r>
      <w:r w:rsidR="00324449" w:rsidRPr="00324449">
        <w:rPr>
          <w:rFonts w:ascii="Arial" w:eastAsia="Arial" w:hAnsi="Arial" w:cs="Arial"/>
          <w:color w:val="4D4D4F"/>
        </w:rPr>
        <w:t>provisions</w:t>
      </w:r>
      <w:r w:rsidR="001634C5">
        <w:rPr>
          <w:rStyle w:val="FootnoteReference"/>
          <w:rFonts w:ascii="Arial" w:eastAsia="Arial" w:hAnsi="Arial" w:cs="Arial"/>
          <w:color w:val="4D4D4F"/>
        </w:rPr>
        <w:footnoteReference w:id="2"/>
      </w:r>
      <w:r w:rsidR="00324449" w:rsidRPr="00324449">
        <w:rPr>
          <w:rFonts w:ascii="Arial" w:eastAsia="Arial" w:hAnsi="Arial" w:cs="Arial"/>
          <w:color w:val="4D4D4F"/>
        </w:rPr>
        <w:t xml:space="preserve"> in paragraph 1.11 of section 1 </w:t>
      </w:r>
      <w:r w:rsidR="00324449" w:rsidRPr="00324449">
        <w:rPr>
          <w:rFonts w:ascii="Arial" w:eastAsia="Arial" w:hAnsi="Arial" w:cs="Arial"/>
          <w:color w:val="4D4D4F"/>
        </w:rPr>
        <w:lastRenderedPageBreak/>
        <w:t xml:space="preserve">of FRS 102 are met. A ‘qualifying entity’ </w:t>
      </w:r>
      <w:r>
        <w:rPr>
          <w:rFonts w:ascii="Arial" w:eastAsia="Arial" w:hAnsi="Arial" w:cs="Arial"/>
          <w:color w:val="4D4D4F"/>
        </w:rPr>
        <w:t>that wishes</w:t>
      </w:r>
      <w:r w:rsidR="00324449" w:rsidRPr="00324449">
        <w:rPr>
          <w:rFonts w:ascii="Arial" w:eastAsia="Arial" w:hAnsi="Arial" w:cs="Arial"/>
          <w:color w:val="4D4D4F"/>
        </w:rPr>
        <w:t xml:space="preserve"> to take advantage of the disclosure exemptions </w:t>
      </w:r>
      <w:r w:rsidR="00696E6F">
        <w:rPr>
          <w:rFonts w:ascii="Arial" w:eastAsia="Arial" w:hAnsi="Arial" w:cs="Arial"/>
          <w:color w:val="4D4D4F"/>
        </w:rPr>
        <w:t>must</w:t>
      </w:r>
      <w:r w:rsidR="00696E6F" w:rsidRPr="00324449">
        <w:rPr>
          <w:rFonts w:ascii="Arial" w:eastAsia="Arial" w:hAnsi="Arial" w:cs="Arial"/>
          <w:color w:val="4D4D4F"/>
        </w:rPr>
        <w:t xml:space="preserve"> </w:t>
      </w:r>
      <w:r w:rsidR="00324449" w:rsidRPr="00324449">
        <w:rPr>
          <w:rFonts w:ascii="Arial" w:eastAsia="Arial" w:hAnsi="Arial" w:cs="Arial"/>
          <w:color w:val="4D4D4F"/>
        </w:rPr>
        <w:t>ensure:</w:t>
      </w:r>
    </w:p>
    <w:p w14:paraId="731BC4B4" w14:textId="77777777" w:rsidR="00324449" w:rsidRDefault="00324449" w:rsidP="00324449">
      <w:pPr>
        <w:spacing w:after="0" w:line="160" w:lineRule="exact"/>
        <w:rPr>
          <w:sz w:val="16"/>
          <w:szCs w:val="16"/>
        </w:rPr>
      </w:pPr>
    </w:p>
    <w:p w14:paraId="0B562C3F" w14:textId="77777777" w:rsidR="00324449" w:rsidRPr="00FA585C" w:rsidRDefault="00324449" w:rsidP="00324449">
      <w:pPr>
        <w:tabs>
          <w:tab w:val="left" w:pos="760"/>
        </w:tabs>
        <w:spacing w:after="0" w:line="240" w:lineRule="auto"/>
        <w:ind w:left="1440" w:right="-20" w:hanging="1303"/>
        <w:rPr>
          <w:rFonts w:ascii="Arial" w:eastAsia="Arial" w:hAnsi="Arial" w:cs="Arial"/>
          <w:i/>
          <w:color w:val="4D4D4F"/>
        </w:rPr>
      </w:pPr>
      <w:r w:rsidRPr="00FA585C">
        <w:rPr>
          <w:rFonts w:ascii="Arial" w:eastAsia="Arial" w:hAnsi="Arial" w:cs="Arial"/>
          <w:i/>
          <w:color w:val="4D4D4F"/>
        </w:rPr>
        <w:tab/>
        <w:t>(b)</w:t>
      </w:r>
      <w:r w:rsidRPr="00FA585C">
        <w:rPr>
          <w:rFonts w:ascii="Arial" w:eastAsia="Arial" w:hAnsi="Arial" w:cs="Arial"/>
          <w:i/>
          <w:color w:val="4D4D4F"/>
        </w:rPr>
        <w:tab/>
        <w:t xml:space="preserve">It otherwise applies the </w:t>
      </w:r>
      <w:r w:rsidRPr="001428A5">
        <w:rPr>
          <w:rFonts w:ascii="Arial" w:eastAsia="Arial" w:hAnsi="Arial" w:cs="Arial"/>
          <w:b/>
          <w:i/>
          <w:color w:val="4D4D4F"/>
        </w:rPr>
        <w:t>recognition</w:t>
      </w:r>
      <w:r w:rsidRPr="00FA585C">
        <w:rPr>
          <w:rFonts w:ascii="Arial" w:eastAsia="Arial" w:hAnsi="Arial" w:cs="Arial"/>
          <w:i/>
          <w:color w:val="4D4D4F"/>
        </w:rPr>
        <w:t xml:space="preserve">, </w:t>
      </w:r>
      <w:r w:rsidRPr="001428A5">
        <w:rPr>
          <w:rFonts w:ascii="Arial" w:eastAsia="Arial" w:hAnsi="Arial" w:cs="Arial"/>
          <w:b/>
          <w:i/>
          <w:color w:val="4D4D4F"/>
        </w:rPr>
        <w:t>measurement</w:t>
      </w:r>
      <w:r w:rsidRPr="00FA585C">
        <w:rPr>
          <w:rFonts w:ascii="Arial" w:eastAsia="Arial" w:hAnsi="Arial" w:cs="Arial"/>
          <w:i/>
          <w:color w:val="4D4D4F"/>
        </w:rPr>
        <w:t xml:space="preserve"> and disclosure requirements of the FRS.</w:t>
      </w:r>
    </w:p>
    <w:p w14:paraId="03EC344C" w14:textId="77777777" w:rsidR="00324449" w:rsidRPr="00FA585C" w:rsidRDefault="00324449" w:rsidP="00324449">
      <w:pPr>
        <w:spacing w:after="0" w:line="160" w:lineRule="exact"/>
        <w:rPr>
          <w:i/>
          <w:sz w:val="16"/>
          <w:szCs w:val="16"/>
        </w:rPr>
      </w:pPr>
    </w:p>
    <w:p w14:paraId="179EFF0F" w14:textId="77777777" w:rsidR="00324449" w:rsidRPr="00FA585C" w:rsidRDefault="00324449" w:rsidP="00324449">
      <w:pPr>
        <w:tabs>
          <w:tab w:val="left" w:pos="760"/>
        </w:tabs>
        <w:spacing w:after="0" w:line="240" w:lineRule="auto"/>
        <w:ind w:left="1440" w:right="-20" w:hanging="1303"/>
        <w:rPr>
          <w:rFonts w:ascii="Arial" w:eastAsia="Arial" w:hAnsi="Arial" w:cs="Arial"/>
          <w:i/>
          <w:color w:val="4D4D4F"/>
        </w:rPr>
      </w:pPr>
      <w:r w:rsidRPr="00FA585C">
        <w:rPr>
          <w:rFonts w:ascii="Arial" w:eastAsia="Arial" w:hAnsi="Arial" w:cs="Arial"/>
          <w:i/>
          <w:color w:val="4D4D4F"/>
        </w:rPr>
        <w:tab/>
        <w:t>(c)</w:t>
      </w:r>
      <w:r w:rsidRPr="00FA585C">
        <w:rPr>
          <w:rFonts w:ascii="Arial" w:eastAsia="Arial" w:hAnsi="Arial" w:cs="Arial"/>
          <w:i/>
          <w:color w:val="4D4D4F"/>
        </w:rPr>
        <w:tab/>
        <w:t xml:space="preserve">It discloses in the </w:t>
      </w:r>
      <w:r w:rsidRPr="001428A5">
        <w:rPr>
          <w:rFonts w:ascii="Arial" w:eastAsia="Arial" w:hAnsi="Arial" w:cs="Arial"/>
          <w:b/>
          <w:i/>
          <w:color w:val="4D4D4F"/>
        </w:rPr>
        <w:t>notes</w:t>
      </w:r>
      <w:r w:rsidRPr="00FA585C">
        <w:rPr>
          <w:rFonts w:ascii="Arial" w:eastAsia="Arial" w:hAnsi="Arial" w:cs="Arial"/>
          <w:i/>
          <w:color w:val="4D4D4F"/>
        </w:rPr>
        <w:t xml:space="preserve"> to its financial statements:</w:t>
      </w:r>
    </w:p>
    <w:p w14:paraId="49ABA5CF" w14:textId="77777777" w:rsidR="00324449" w:rsidRPr="00FA585C" w:rsidRDefault="00324449" w:rsidP="00324449">
      <w:pPr>
        <w:spacing w:after="0" w:line="160" w:lineRule="exact"/>
        <w:rPr>
          <w:i/>
          <w:sz w:val="16"/>
          <w:szCs w:val="16"/>
        </w:rPr>
      </w:pPr>
    </w:p>
    <w:p w14:paraId="5904DB5A" w14:textId="77777777" w:rsidR="00F655C1" w:rsidRPr="00FA585C" w:rsidRDefault="00324449" w:rsidP="00F655C1">
      <w:pPr>
        <w:pStyle w:val="ListParagraph"/>
        <w:numPr>
          <w:ilvl w:val="5"/>
          <w:numId w:val="1"/>
        </w:numPr>
        <w:tabs>
          <w:tab w:val="left" w:pos="760"/>
        </w:tabs>
        <w:spacing w:after="0" w:line="240" w:lineRule="auto"/>
        <w:ind w:right="-20"/>
        <w:rPr>
          <w:i/>
          <w:sz w:val="16"/>
          <w:szCs w:val="16"/>
        </w:rPr>
      </w:pPr>
      <w:r w:rsidRPr="00FA585C">
        <w:rPr>
          <w:rFonts w:ascii="Arial" w:eastAsia="Arial" w:hAnsi="Arial" w:cs="Arial"/>
          <w:i/>
          <w:color w:val="4D4D4F"/>
        </w:rPr>
        <w:t>a brief narrative summary of the disclosure exemptions adopted; and</w:t>
      </w:r>
    </w:p>
    <w:p w14:paraId="2A5FEDC7" w14:textId="77777777" w:rsidR="00F655C1" w:rsidRPr="00FA585C" w:rsidRDefault="00F655C1" w:rsidP="00F655C1">
      <w:pPr>
        <w:spacing w:after="0" w:line="160" w:lineRule="exact"/>
        <w:rPr>
          <w:i/>
          <w:sz w:val="16"/>
          <w:szCs w:val="16"/>
        </w:rPr>
      </w:pPr>
    </w:p>
    <w:p w14:paraId="6CC2D08B" w14:textId="256A841D" w:rsidR="00932874" w:rsidRDefault="00F655C1" w:rsidP="00312BC9">
      <w:pPr>
        <w:pStyle w:val="ListParagraph"/>
        <w:numPr>
          <w:ilvl w:val="5"/>
          <w:numId w:val="1"/>
        </w:numPr>
        <w:tabs>
          <w:tab w:val="left" w:pos="760"/>
        </w:tabs>
        <w:spacing w:after="0" w:line="240" w:lineRule="auto"/>
        <w:ind w:right="-20"/>
        <w:sectPr w:rsidR="00932874">
          <w:pgSz w:w="11920" w:h="16840"/>
          <w:pgMar w:top="780" w:right="1340" w:bottom="880" w:left="1280" w:header="547" w:footer="692" w:gutter="0"/>
          <w:cols w:space="720"/>
        </w:sectPr>
      </w:pPr>
      <w:r w:rsidRPr="00FA585C">
        <w:rPr>
          <w:rFonts w:ascii="Arial" w:eastAsia="Arial" w:hAnsi="Arial" w:cs="Arial"/>
          <w:i/>
          <w:color w:val="4D4D4F"/>
        </w:rPr>
        <w:t xml:space="preserve">the name of the parent of the </w:t>
      </w:r>
      <w:r w:rsidRPr="00FA585C">
        <w:rPr>
          <w:rFonts w:ascii="Arial" w:eastAsia="Arial" w:hAnsi="Arial" w:cs="Arial"/>
          <w:b/>
          <w:i/>
          <w:color w:val="4D4D4F"/>
        </w:rPr>
        <w:t>group</w:t>
      </w:r>
      <w:r w:rsidRPr="00FA585C">
        <w:rPr>
          <w:rFonts w:ascii="Arial" w:eastAsia="Arial" w:hAnsi="Arial" w:cs="Arial"/>
          <w:i/>
          <w:color w:val="4D4D4F"/>
        </w:rPr>
        <w:t xml:space="preserve"> in whose consolidated financial statement its financial statement are consolidated and from where those financial statements may be obtained.</w:t>
      </w:r>
      <w:r w:rsidR="00F77C03">
        <w:rPr>
          <w:rFonts w:ascii="Arial" w:eastAsia="Arial" w:hAnsi="Arial" w:cs="Arial"/>
          <w:i/>
          <w:color w:val="4D4D4F"/>
        </w:rPr>
        <w:t xml:space="preserve"> </w:t>
      </w:r>
      <w:r w:rsidR="00F77C03">
        <w:rPr>
          <w:rFonts w:ascii="Arial" w:eastAsia="Arial" w:hAnsi="Arial" w:cs="Arial"/>
          <w:color w:val="4D4D4F"/>
        </w:rPr>
        <w:t>(Only applicable to subsidiary entities)</w:t>
      </w:r>
    </w:p>
    <w:p w14:paraId="08C7539E" w14:textId="77777777" w:rsidR="00F655C1" w:rsidRDefault="00F655C1" w:rsidP="00F655C1">
      <w:pPr>
        <w:spacing w:before="7" w:after="0" w:line="140" w:lineRule="exact"/>
        <w:rPr>
          <w:sz w:val="14"/>
          <w:szCs w:val="14"/>
        </w:rPr>
      </w:pPr>
    </w:p>
    <w:p w14:paraId="61DF9642" w14:textId="77777777" w:rsidR="00F655C1" w:rsidRDefault="00F655C1" w:rsidP="00F655C1">
      <w:pPr>
        <w:spacing w:after="0" w:line="200" w:lineRule="exact"/>
        <w:rPr>
          <w:sz w:val="20"/>
          <w:szCs w:val="20"/>
        </w:rPr>
      </w:pPr>
    </w:p>
    <w:p w14:paraId="59945537" w14:textId="77777777" w:rsidR="00F655C1" w:rsidRDefault="00F655C1" w:rsidP="00F655C1">
      <w:pPr>
        <w:spacing w:after="0" w:line="200" w:lineRule="exact"/>
        <w:rPr>
          <w:sz w:val="20"/>
          <w:szCs w:val="20"/>
        </w:rPr>
      </w:pPr>
    </w:p>
    <w:bookmarkStart w:id="2" w:name="Module1"/>
    <w:p w14:paraId="2A9606C2" w14:textId="77777777" w:rsidR="00F655C1" w:rsidRPr="00F13CB0" w:rsidRDefault="00F655C1" w:rsidP="00F655C1">
      <w:pPr>
        <w:spacing w:before="24" w:after="0" w:line="240" w:lineRule="auto"/>
        <w:ind w:left="137" w:right="-20"/>
        <w:rPr>
          <w:rFonts w:ascii="Arial" w:eastAsia="Arial" w:hAnsi="Arial" w:cs="Arial"/>
          <w:color w:val="98C43D"/>
          <w:spacing w:val="-5"/>
          <w:sz w:val="28"/>
          <w:szCs w:val="28"/>
        </w:rPr>
      </w:pPr>
      <w:r w:rsidRPr="00F13CB0">
        <w:rPr>
          <w:rFonts w:ascii="Arial" w:eastAsia="Arial" w:hAnsi="Arial" w:cs="Arial"/>
          <w:noProof/>
          <w:color w:val="98C43D"/>
          <w:spacing w:val="-5"/>
          <w:sz w:val="28"/>
          <w:szCs w:val="28"/>
          <w:lang w:val="en-GB" w:eastAsia="en-GB"/>
        </w:rPr>
        <mc:AlternateContent>
          <mc:Choice Requires="wpg">
            <w:drawing>
              <wp:anchor distT="0" distB="0" distL="114300" distR="114300" simplePos="0" relativeHeight="251663360" behindDoc="1" locked="0" layoutInCell="1" allowOverlap="1" wp14:anchorId="5C51AFCD" wp14:editId="44D22C6E">
                <wp:simplePos x="0" y="0"/>
                <wp:positionH relativeFrom="page">
                  <wp:posOffset>899795</wp:posOffset>
                </wp:positionH>
                <wp:positionV relativeFrom="paragraph">
                  <wp:posOffset>257175</wp:posOffset>
                </wp:positionV>
                <wp:extent cx="5760085" cy="1270"/>
                <wp:effectExtent l="13970" t="13970" r="7620" b="3810"/>
                <wp:wrapNone/>
                <wp:docPr id="3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33"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7D771" id="Group 12" o:spid="_x0000_s1026" style="position:absolute;margin-left:70.85pt;margin-top:20.25pt;width:453.55pt;height:.1pt;z-index:-251653120;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xBcYA&#10;AADbAAAADwAAAGRycy9kb3ducmV2LnhtbESPT2vCQBTE74LfYXlCb7qxokjqKtJ/9FALjS3V2yP7&#10;3KTNvg3ZbZJ++64geBxm5jfMatPbSrTU+NKxgukkAUGcO12yUfCxfxovQfiArLFyTAr+yMNmPRys&#10;MNWu43dqs2BEhLBPUUERQp1K6fOCLPqJq4mjd3KNxRBlY6RusItwW8nbJFlIiyXHhQJrui8o/8l+&#10;rYK5+T6E5/3XW2faHR1f59OHx/ZTqZtRv70DEagP1/Cl/aIVzGZw/hJ/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SxBc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r w:rsidRPr="00F655C1">
        <w:rPr>
          <w:rFonts w:ascii="Arial" w:eastAsia="Arial" w:hAnsi="Arial" w:cs="Arial"/>
          <w:color w:val="98C43D"/>
          <w:spacing w:val="-5"/>
          <w:sz w:val="28"/>
          <w:szCs w:val="28"/>
        </w:rPr>
        <w:t>Trustees’ annual report – module 1</w:t>
      </w:r>
      <w:bookmarkEnd w:id="2"/>
    </w:p>
    <w:p w14:paraId="588E09E8" w14:textId="77777777" w:rsidR="00F655C1" w:rsidRDefault="00F655C1" w:rsidP="00F655C1">
      <w:pPr>
        <w:spacing w:before="14" w:after="0" w:line="240" w:lineRule="auto"/>
        <w:ind w:right="-20"/>
        <w:rPr>
          <w:sz w:val="26"/>
          <w:szCs w:val="26"/>
        </w:rPr>
      </w:pPr>
    </w:p>
    <w:p w14:paraId="5C1EE36B" w14:textId="77777777" w:rsidR="00F655C1" w:rsidRDefault="00F655C1" w:rsidP="00F655C1">
      <w:pPr>
        <w:spacing w:after="0" w:line="240" w:lineRule="auto"/>
        <w:ind w:left="137" w:right="-20"/>
        <w:rPr>
          <w:rFonts w:ascii="Arial" w:eastAsia="Arial" w:hAnsi="Arial" w:cs="Arial"/>
          <w:sz w:val="24"/>
          <w:szCs w:val="24"/>
        </w:rPr>
      </w:pPr>
      <w:r>
        <w:rPr>
          <w:rFonts w:ascii="Arial" w:eastAsia="Arial" w:hAnsi="Arial" w:cs="Arial"/>
          <w:b/>
          <w:bCs/>
          <w:color w:val="4D4D4F"/>
          <w:spacing w:val="-3"/>
          <w:sz w:val="24"/>
          <w:szCs w:val="24"/>
        </w:rPr>
        <w:t xml:space="preserve">Topic: </w:t>
      </w:r>
      <w:r w:rsidRPr="00F655C1">
        <w:rPr>
          <w:rFonts w:ascii="Arial" w:eastAsia="Arial" w:hAnsi="Arial" w:cs="Arial"/>
          <w:b/>
          <w:bCs/>
          <w:i/>
          <w:color w:val="4D4D4F"/>
          <w:spacing w:val="-3"/>
          <w:sz w:val="24"/>
          <w:szCs w:val="24"/>
        </w:rPr>
        <w:t xml:space="preserve">Fundraising disclosures brought in by the Charities (Protection and Social Investment) Act 2016 </w:t>
      </w:r>
      <w:r w:rsidRPr="000A6E3E">
        <w:rPr>
          <w:rFonts w:ascii="Arial" w:eastAsia="Arial" w:hAnsi="Arial" w:cs="Arial"/>
          <w:b/>
          <w:bCs/>
          <w:color w:val="4D4D4F"/>
          <w:spacing w:val="-3"/>
          <w:sz w:val="24"/>
          <w:szCs w:val="24"/>
        </w:rPr>
        <w:t>- England &amp; Wales only</w:t>
      </w:r>
    </w:p>
    <w:p w14:paraId="28076D6B" w14:textId="77777777" w:rsidR="00F655C1" w:rsidRDefault="00F655C1" w:rsidP="00F655C1">
      <w:pPr>
        <w:spacing w:before="6" w:after="0" w:line="150" w:lineRule="exact"/>
        <w:rPr>
          <w:sz w:val="15"/>
          <w:szCs w:val="15"/>
        </w:rPr>
      </w:pPr>
    </w:p>
    <w:p w14:paraId="3FFD6AC7" w14:textId="77777777" w:rsidR="00932874" w:rsidRDefault="00010F12">
      <w:pPr>
        <w:tabs>
          <w:tab w:val="left" w:pos="760"/>
        </w:tabs>
        <w:spacing w:after="0" w:line="240" w:lineRule="auto"/>
        <w:ind w:left="137" w:right="-20"/>
        <w:rPr>
          <w:rFonts w:ascii="Arial" w:eastAsia="Arial" w:hAnsi="Arial" w:cs="Arial"/>
        </w:rPr>
      </w:pPr>
      <w:r w:rsidRPr="00010F12">
        <w:rPr>
          <w:rFonts w:ascii="Arial" w:eastAsia="Arial" w:hAnsi="Arial" w:cs="Arial"/>
          <w:color w:val="4D4D4F"/>
        </w:rPr>
        <w:t>Charities must include extra information on their fundraising practices in the trustees’ annual report (‘the report’) under provisions of section 13 of the Charities (Protection and Social Investment) Act 2016 (‘the Act’).</w:t>
      </w:r>
    </w:p>
    <w:p w14:paraId="77F62403" w14:textId="77777777" w:rsidR="00932874" w:rsidRDefault="00932874">
      <w:pPr>
        <w:spacing w:before="5" w:after="0" w:line="110" w:lineRule="exact"/>
        <w:rPr>
          <w:sz w:val="11"/>
          <w:szCs w:val="11"/>
        </w:rPr>
      </w:pPr>
    </w:p>
    <w:p w14:paraId="38D0917C" w14:textId="77777777" w:rsidR="00010F12" w:rsidRDefault="00010F12" w:rsidP="00010F12">
      <w:pPr>
        <w:tabs>
          <w:tab w:val="left" w:pos="760"/>
        </w:tabs>
        <w:spacing w:after="0" w:line="240" w:lineRule="auto"/>
        <w:ind w:left="137" w:right="-20"/>
        <w:rPr>
          <w:rFonts w:ascii="Arial" w:eastAsia="Arial" w:hAnsi="Arial" w:cs="Arial"/>
          <w:color w:val="4D4D4F"/>
        </w:rPr>
      </w:pPr>
      <w:r>
        <w:rPr>
          <w:rFonts w:ascii="Arial" w:eastAsia="Arial" w:hAnsi="Arial" w:cs="Arial"/>
          <w:color w:val="4D4D4F"/>
        </w:rPr>
        <w:t xml:space="preserve">The provision applies to charities registered in </w:t>
      </w:r>
      <w:r w:rsidRPr="00010F12">
        <w:rPr>
          <w:rFonts w:ascii="Arial" w:eastAsia="Arial" w:hAnsi="Arial" w:cs="Arial"/>
          <w:color w:val="4D4D4F"/>
        </w:rPr>
        <w:t>England and Wales which must have their accounts audited by law. It applies for reporting periods beginning on or after 1 November 2016. Early application is permitted.</w:t>
      </w:r>
    </w:p>
    <w:p w14:paraId="346A0868" w14:textId="77777777" w:rsidR="00010F12" w:rsidRDefault="00010F12" w:rsidP="00010F12">
      <w:pPr>
        <w:tabs>
          <w:tab w:val="left" w:pos="760"/>
        </w:tabs>
        <w:spacing w:after="0" w:line="240" w:lineRule="auto"/>
        <w:ind w:left="137" w:right="-20"/>
        <w:rPr>
          <w:rFonts w:ascii="Arial" w:eastAsia="Arial" w:hAnsi="Arial" w:cs="Arial"/>
          <w:color w:val="4D4D4F"/>
        </w:rPr>
      </w:pPr>
    </w:p>
    <w:p w14:paraId="62D146C2" w14:textId="77777777" w:rsidR="00010F12" w:rsidRDefault="00E41564" w:rsidP="00010F12">
      <w:pPr>
        <w:tabs>
          <w:tab w:val="left" w:pos="760"/>
        </w:tabs>
        <w:spacing w:after="0" w:line="240" w:lineRule="auto"/>
        <w:ind w:left="137" w:right="-20"/>
        <w:rPr>
          <w:rFonts w:ascii="Arial" w:eastAsia="Arial" w:hAnsi="Arial" w:cs="Arial"/>
          <w:color w:val="4D4D4F"/>
        </w:rPr>
      </w:pPr>
      <w:r w:rsidRPr="00E41564">
        <w:rPr>
          <w:rFonts w:ascii="Arial" w:eastAsia="Arial" w:hAnsi="Arial" w:cs="Arial"/>
          <w:color w:val="4D4D4F"/>
        </w:rPr>
        <w:t xml:space="preserve">Details of the contents of the statement can be found by referring to subsection (4) of section 13 of the Act. Further guidance about the particular disclosures required can be found in </w:t>
      </w:r>
      <w:hyperlink r:id="rId15" w:history="1">
        <w:r w:rsidRPr="00E41564">
          <w:rPr>
            <w:rStyle w:val="Hyperlink"/>
            <w:rFonts w:ascii="Arial" w:eastAsia="Arial" w:hAnsi="Arial" w:cs="Arial"/>
          </w:rPr>
          <w:t>Charity fundraising: a guide to trustee duties (CC20)</w:t>
        </w:r>
      </w:hyperlink>
      <w:r w:rsidRPr="00E41564">
        <w:rPr>
          <w:rFonts w:ascii="Arial" w:eastAsia="Arial" w:hAnsi="Arial" w:cs="Arial"/>
          <w:color w:val="4D4D4F"/>
        </w:rPr>
        <w:t xml:space="preserve"> and </w:t>
      </w:r>
      <w:hyperlink r:id="rId16" w:history="1">
        <w:r w:rsidRPr="00E41564">
          <w:rPr>
            <w:rStyle w:val="Hyperlink"/>
            <w:rFonts w:ascii="Arial" w:eastAsia="Arial" w:hAnsi="Arial" w:cs="Arial"/>
          </w:rPr>
          <w:t>Charity reporting and accounting the essentials November 2016 (CC15d)</w:t>
        </w:r>
      </w:hyperlink>
      <w:r w:rsidRPr="00E41564">
        <w:rPr>
          <w:rFonts w:ascii="Arial" w:eastAsia="Arial" w:hAnsi="Arial" w:cs="Arial"/>
          <w:color w:val="4D4D4F"/>
        </w:rPr>
        <w:t xml:space="preserve"> as issued by the Charity Commission for England and Wales.</w:t>
      </w:r>
    </w:p>
    <w:p w14:paraId="11947D89" w14:textId="77777777" w:rsidR="00E41564" w:rsidRDefault="00E41564" w:rsidP="00E41564">
      <w:pPr>
        <w:spacing w:after="0" w:line="160" w:lineRule="exact"/>
        <w:rPr>
          <w:sz w:val="16"/>
          <w:szCs w:val="16"/>
        </w:rPr>
      </w:pPr>
    </w:p>
    <w:p w14:paraId="08A0AA51" w14:textId="77777777" w:rsidR="00E41564" w:rsidRDefault="00E41564" w:rsidP="00E41564">
      <w:pPr>
        <w:spacing w:after="0" w:line="160" w:lineRule="exact"/>
        <w:rPr>
          <w:sz w:val="16"/>
          <w:szCs w:val="16"/>
        </w:rPr>
      </w:pPr>
    </w:p>
    <w:p w14:paraId="16B2AC16" w14:textId="77777777" w:rsidR="00E41564" w:rsidRPr="003A6AAE" w:rsidRDefault="00E41564" w:rsidP="00E41564">
      <w:pPr>
        <w:tabs>
          <w:tab w:val="left" w:pos="760"/>
        </w:tabs>
        <w:spacing w:after="0" w:line="240" w:lineRule="auto"/>
        <w:ind w:left="1440" w:right="-20" w:hanging="1303"/>
        <w:rPr>
          <w:rFonts w:ascii="Arial" w:eastAsia="Arial" w:hAnsi="Arial" w:cs="Arial"/>
          <w:color w:val="4D4D4F"/>
        </w:rPr>
      </w:pPr>
    </w:p>
    <w:p w14:paraId="5F80867B" w14:textId="77777777" w:rsidR="00E41564" w:rsidRDefault="00E41564" w:rsidP="00E41564">
      <w:pPr>
        <w:spacing w:after="0"/>
        <w:sectPr w:rsidR="00E41564">
          <w:pgSz w:w="11920" w:h="16840"/>
          <w:pgMar w:top="780" w:right="1340" w:bottom="880" w:left="1280" w:header="547" w:footer="692" w:gutter="0"/>
          <w:cols w:space="720"/>
        </w:sectPr>
      </w:pPr>
    </w:p>
    <w:p w14:paraId="60B40941" w14:textId="77777777" w:rsidR="00587CA8" w:rsidRDefault="00587CA8" w:rsidP="00587CA8">
      <w:pPr>
        <w:spacing w:before="7" w:after="0" w:line="140" w:lineRule="exact"/>
        <w:rPr>
          <w:sz w:val="14"/>
          <w:szCs w:val="14"/>
        </w:rPr>
      </w:pPr>
    </w:p>
    <w:p w14:paraId="75D3E404" w14:textId="77777777" w:rsidR="00587CA8" w:rsidRDefault="00587CA8" w:rsidP="00587CA8">
      <w:pPr>
        <w:spacing w:after="0" w:line="200" w:lineRule="exact"/>
        <w:rPr>
          <w:sz w:val="20"/>
          <w:szCs w:val="20"/>
        </w:rPr>
      </w:pPr>
    </w:p>
    <w:p w14:paraId="5CDF72C0" w14:textId="77777777" w:rsidR="00587CA8" w:rsidRDefault="00587CA8" w:rsidP="00587CA8">
      <w:pPr>
        <w:spacing w:after="0" w:line="200" w:lineRule="exact"/>
        <w:rPr>
          <w:sz w:val="20"/>
          <w:szCs w:val="20"/>
        </w:rPr>
      </w:pPr>
    </w:p>
    <w:bookmarkStart w:id="3" w:name="Module2"/>
    <w:p w14:paraId="03420EFD" w14:textId="77777777" w:rsidR="00587CA8" w:rsidRPr="00F13CB0" w:rsidRDefault="00587CA8" w:rsidP="00587CA8">
      <w:pPr>
        <w:spacing w:before="24" w:after="0" w:line="240" w:lineRule="auto"/>
        <w:ind w:left="137" w:right="-20"/>
        <w:rPr>
          <w:rFonts w:ascii="Arial" w:eastAsia="Arial" w:hAnsi="Arial" w:cs="Arial"/>
          <w:color w:val="98C43D"/>
          <w:spacing w:val="-5"/>
          <w:sz w:val="28"/>
          <w:szCs w:val="28"/>
        </w:rPr>
      </w:pPr>
      <w:r w:rsidRPr="00F13CB0">
        <w:rPr>
          <w:rFonts w:ascii="Arial" w:eastAsia="Arial" w:hAnsi="Arial" w:cs="Arial"/>
          <w:noProof/>
          <w:color w:val="98C43D"/>
          <w:spacing w:val="-5"/>
          <w:sz w:val="28"/>
          <w:szCs w:val="28"/>
          <w:lang w:val="en-GB" w:eastAsia="en-GB"/>
        </w:rPr>
        <mc:AlternateContent>
          <mc:Choice Requires="wpg">
            <w:drawing>
              <wp:anchor distT="0" distB="0" distL="114300" distR="114300" simplePos="0" relativeHeight="251667456" behindDoc="1" locked="0" layoutInCell="1" allowOverlap="1" wp14:anchorId="4DFF5373" wp14:editId="5731344C">
                <wp:simplePos x="0" y="0"/>
                <wp:positionH relativeFrom="page">
                  <wp:posOffset>899795</wp:posOffset>
                </wp:positionH>
                <wp:positionV relativeFrom="paragraph">
                  <wp:posOffset>257175</wp:posOffset>
                </wp:positionV>
                <wp:extent cx="5760085" cy="1270"/>
                <wp:effectExtent l="13970" t="13970" r="7620" b="3810"/>
                <wp:wrapNone/>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37"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287DE" id="Group 12" o:spid="_x0000_s1026" style="position:absolute;margin-left:70.85pt;margin-top:20.25pt;width:453.55pt;height:.1pt;z-index:-251649024;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3BscA&#10;AADbAAAADwAAAGRycy9kb3ducmV2LnhtbESPW2vCQBSE34X+h+UU+qYbW2wlukrpRfpgC95Q3w7Z&#10;0000ezZkt0n6712h0MdhZr5hpvPOlqKh2heOFQwHCQjizOmCjYLt5r0/BuEDssbSMSn4JQ/z2U1v&#10;iql2La+oWQcjIoR9igryEKpUSp/lZNEPXEUcvW9XWwxR1kbqGtsIt6W8T5JHabHguJBjRS85Zef1&#10;j1UwMqdDWGz2X61pPum4HA1f35qdUne33fMERKAu/If/2h9awcMTXL/EH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ftwbHAAAA2wAAAA8AAAAAAAAAAAAAAAAAmAIAAGRy&#10;cy9kb3ducmV2LnhtbFBLBQYAAAAABAAEAPUAAACMAw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pacing w:val="-5"/>
          <w:sz w:val="28"/>
          <w:szCs w:val="28"/>
        </w:rPr>
        <w:t xml:space="preserve">Fund accounting </w:t>
      </w:r>
      <w:r w:rsidRPr="00F655C1">
        <w:rPr>
          <w:rFonts w:ascii="Arial" w:eastAsia="Arial" w:hAnsi="Arial" w:cs="Arial"/>
          <w:color w:val="98C43D"/>
          <w:spacing w:val="-5"/>
          <w:sz w:val="28"/>
          <w:szCs w:val="28"/>
        </w:rPr>
        <w:t xml:space="preserve">– module </w:t>
      </w:r>
      <w:r>
        <w:rPr>
          <w:rFonts w:ascii="Arial" w:eastAsia="Arial" w:hAnsi="Arial" w:cs="Arial"/>
          <w:color w:val="98C43D"/>
          <w:spacing w:val="-5"/>
          <w:sz w:val="28"/>
          <w:szCs w:val="28"/>
        </w:rPr>
        <w:t>2</w:t>
      </w:r>
    </w:p>
    <w:bookmarkEnd w:id="3"/>
    <w:p w14:paraId="1845AE38" w14:textId="77777777" w:rsidR="00587CA8" w:rsidRDefault="00587CA8" w:rsidP="00587CA8">
      <w:pPr>
        <w:spacing w:before="14" w:after="0" w:line="240" w:lineRule="auto"/>
        <w:ind w:right="-20"/>
        <w:rPr>
          <w:sz w:val="26"/>
          <w:szCs w:val="26"/>
        </w:rPr>
      </w:pPr>
    </w:p>
    <w:p w14:paraId="44395790" w14:textId="77777777" w:rsidR="00587CA8" w:rsidRDefault="00587CA8" w:rsidP="00587CA8">
      <w:pPr>
        <w:spacing w:after="0" w:line="240" w:lineRule="auto"/>
        <w:ind w:left="137" w:right="-20"/>
        <w:rPr>
          <w:rFonts w:ascii="Arial" w:eastAsia="Arial" w:hAnsi="Arial" w:cs="Arial"/>
          <w:sz w:val="24"/>
          <w:szCs w:val="24"/>
        </w:rPr>
      </w:pPr>
      <w:r>
        <w:rPr>
          <w:rFonts w:ascii="Arial" w:eastAsia="Arial" w:hAnsi="Arial" w:cs="Arial"/>
          <w:b/>
          <w:bCs/>
          <w:color w:val="4D4D4F"/>
          <w:spacing w:val="-3"/>
          <w:sz w:val="24"/>
          <w:szCs w:val="24"/>
        </w:rPr>
        <w:t xml:space="preserve">Topic: </w:t>
      </w:r>
      <w:r w:rsidRPr="00587CA8">
        <w:rPr>
          <w:rFonts w:ascii="Arial" w:eastAsia="Arial" w:hAnsi="Arial" w:cs="Arial"/>
          <w:b/>
          <w:bCs/>
          <w:i/>
          <w:color w:val="4D4D4F"/>
          <w:spacing w:val="-3"/>
          <w:sz w:val="24"/>
          <w:szCs w:val="24"/>
        </w:rPr>
        <w:t>Comparative figures for fund disclosures</w:t>
      </w:r>
    </w:p>
    <w:p w14:paraId="66E10926" w14:textId="77777777" w:rsidR="00587CA8" w:rsidRDefault="00587CA8" w:rsidP="00587CA8">
      <w:pPr>
        <w:spacing w:before="6" w:after="0" w:line="150" w:lineRule="exact"/>
        <w:rPr>
          <w:sz w:val="15"/>
          <w:szCs w:val="15"/>
        </w:rPr>
      </w:pPr>
    </w:p>
    <w:p w14:paraId="6228EED7" w14:textId="4B1DD74A" w:rsidR="00587CA8" w:rsidRDefault="00587CA8" w:rsidP="00587CA8">
      <w:pPr>
        <w:tabs>
          <w:tab w:val="left" w:pos="760"/>
        </w:tabs>
        <w:spacing w:after="0" w:line="240" w:lineRule="auto"/>
        <w:ind w:left="137" w:right="-20"/>
        <w:rPr>
          <w:rFonts w:ascii="Arial" w:eastAsia="Arial" w:hAnsi="Arial" w:cs="Arial"/>
        </w:rPr>
      </w:pPr>
      <w:r w:rsidRPr="00587CA8">
        <w:rPr>
          <w:rFonts w:ascii="Arial" w:eastAsia="Arial" w:hAnsi="Arial" w:cs="Arial"/>
          <w:color w:val="4D4D4F"/>
        </w:rPr>
        <w:t>Under new GAAP, FRS 102 comparatives are required unless otherwise stated in the standard. Paragraph 3.14 of FRS 102 provides that: ‘</w:t>
      </w:r>
      <w:r w:rsidRPr="000A6E3E">
        <w:rPr>
          <w:rFonts w:ascii="Arial" w:eastAsia="Arial" w:hAnsi="Arial" w:cs="Arial"/>
          <w:i/>
          <w:color w:val="4D4D4F"/>
        </w:rPr>
        <w:t>except when this FRS permits or requires otherwise, an entity shall present comparative information in respect of the preceding period for all amounts presented in the current period’s financial statements</w:t>
      </w:r>
      <w:r w:rsidRPr="00587CA8">
        <w:rPr>
          <w:rFonts w:ascii="Arial" w:eastAsia="Arial" w:hAnsi="Arial" w:cs="Arial"/>
          <w:color w:val="4D4D4F"/>
        </w:rPr>
        <w:t>’.</w:t>
      </w:r>
    </w:p>
    <w:p w14:paraId="575F877E" w14:textId="77777777" w:rsidR="00587CA8" w:rsidRDefault="00587CA8" w:rsidP="00587CA8">
      <w:pPr>
        <w:spacing w:before="5" w:after="0" w:line="110" w:lineRule="exact"/>
        <w:rPr>
          <w:sz w:val="11"/>
          <w:szCs w:val="11"/>
        </w:rPr>
      </w:pPr>
    </w:p>
    <w:p w14:paraId="06DDE15E" w14:textId="77777777" w:rsidR="00587CA8" w:rsidRDefault="00587CA8" w:rsidP="00587CA8">
      <w:pPr>
        <w:tabs>
          <w:tab w:val="left" w:pos="760"/>
        </w:tabs>
        <w:spacing w:after="0" w:line="240" w:lineRule="auto"/>
        <w:ind w:left="137" w:right="-20"/>
        <w:rPr>
          <w:rFonts w:ascii="Arial" w:eastAsia="Arial" w:hAnsi="Arial" w:cs="Arial"/>
          <w:color w:val="4D4D4F"/>
        </w:rPr>
      </w:pPr>
      <w:r w:rsidRPr="00587CA8">
        <w:rPr>
          <w:rFonts w:ascii="Arial" w:eastAsia="Arial" w:hAnsi="Arial" w:cs="Arial"/>
          <w:color w:val="4D4D4F"/>
        </w:rPr>
        <w:t>Therefore comparative figures should be provided when making the disclosures required by paragraph 2.29 of the SORP for the summary of assets and liabilities of each category of fund of the charity and for the detail in the movements in material individual funds</w:t>
      </w:r>
      <w:r w:rsidRPr="00010F12">
        <w:rPr>
          <w:rFonts w:ascii="Arial" w:eastAsia="Arial" w:hAnsi="Arial" w:cs="Arial"/>
          <w:color w:val="4D4D4F"/>
        </w:rPr>
        <w:t>.</w:t>
      </w:r>
    </w:p>
    <w:p w14:paraId="091B788B" w14:textId="77777777" w:rsidR="00587CA8" w:rsidRDefault="00587CA8" w:rsidP="00587CA8">
      <w:pPr>
        <w:tabs>
          <w:tab w:val="left" w:pos="760"/>
        </w:tabs>
        <w:spacing w:after="0" w:line="240" w:lineRule="auto"/>
        <w:ind w:left="137" w:right="-20"/>
        <w:rPr>
          <w:rFonts w:ascii="Arial" w:eastAsia="Arial" w:hAnsi="Arial" w:cs="Arial"/>
          <w:color w:val="4D4D4F"/>
        </w:rPr>
      </w:pPr>
    </w:p>
    <w:p w14:paraId="7DEC121B" w14:textId="77777777" w:rsidR="00587CA8" w:rsidRDefault="00587CA8" w:rsidP="00587CA8">
      <w:pPr>
        <w:tabs>
          <w:tab w:val="left" w:pos="760"/>
        </w:tabs>
        <w:spacing w:after="0" w:line="240" w:lineRule="auto"/>
        <w:ind w:left="137" w:right="-20"/>
        <w:rPr>
          <w:rFonts w:ascii="Arial" w:eastAsia="Arial" w:hAnsi="Arial" w:cs="Arial"/>
          <w:color w:val="4D4D4F"/>
        </w:rPr>
      </w:pPr>
      <w:r w:rsidRPr="00587CA8">
        <w:rPr>
          <w:rFonts w:ascii="Arial" w:eastAsia="Arial" w:hAnsi="Arial" w:cs="Arial"/>
          <w:color w:val="4D4D4F"/>
        </w:rPr>
        <w:t>The analysis of charitable funds will include fund movements from the beginning of the prior reporting period to the end of the prior period; and from the beginning of the current reporting period to the end of the current period. Where the current and prior periods have been 12 month</w:t>
      </w:r>
      <w:r w:rsidR="000A6E3E">
        <w:rPr>
          <w:rFonts w:ascii="Arial" w:eastAsia="Arial" w:hAnsi="Arial" w:cs="Arial"/>
          <w:color w:val="4D4D4F"/>
        </w:rPr>
        <w:t>s</w:t>
      </w:r>
      <w:r w:rsidRPr="00587CA8">
        <w:rPr>
          <w:rFonts w:ascii="Arial" w:eastAsia="Arial" w:hAnsi="Arial" w:cs="Arial"/>
          <w:color w:val="4D4D4F"/>
        </w:rPr>
        <w:t xml:space="preserve"> long, the charity will provide an analysis over a period of 24 months</w:t>
      </w:r>
      <w:r w:rsidRPr="00E41564">
        <w:rPr>
          <w:rFonts w:ascii="Arial" w:eastAsia="Arial" w:hAnsi="Arial" w:cs="Arial"/>
          <w:color w:val="4D4D4F"/>
        </w:rPr>
        <w:t>.</w:t>
      </w:r>
    </w:p>
    <w:p w14:paraId="647F9D0D" w14:textId="77777777" w:rsidR="00587CA8" w:rsidRDefault="00587CA8" w:rsidP="00587CA8">
      <w:pPr>
        <w:spacing w:after="0" w:line="160" w:lineRule="exact"/>
        <w:rPr>
          <w:sz w:val="16"/>
          <w:szCs w:val="16"/>
        </w:rPr>
      </w:pPr>
    </w:p>
    <w:p w14:paraId="0EB8F6AF" w14:textId="77777777" w:rsidR="00587CA8" w:rsidRDefault="00587CA8" w:rsidP="00587CA8">
      <w:pPr>
        <w:spacing w:after="0" w:line="160" w:lineRule="exact"/>
        <w:rPr>
          <w:sz w:val="16"/>
          <w:szCs w:val="16"/>
        </w:rPr>
      </w:pPr>
    </w:p>
    <w:p w14:paraId="68DC4DD2" w14:textId="77777777" w:rsidR="00587CA8" w:rsidRPr="003A6AAE" w:rsidRDefault="00587CA8" w:rsidP="00587CA8">
      <w:pPr>
        <w:tabs>
          <w:tab w:val="left" w:pos="760"/>
        </w:tabs>
        <w:spacing w:after="0" w:line="240" w:lineRule="auto"/>
        <w:ind w:left="1440" w:right="-20" w:hanging="1303"/>
        <w:rPr>
          <w:rFonts w:ascii="Arial" w:eastAsia="Arial" w:hAnsi="Arial" w:cs="Arial"/>
          <w:color w:val="4D4D4F"/>
        </w:rPr>
      </w:pPr>
    </w:p>
    <w:p w14:paraId="66A25E9B" w14:textId="77777777" w:rsidR="00587CA8" w:rsidRDefault="00587CA8" w:rsidP="00587CA8">
      <w:pPr>
        <w:spacing w:after="0"/>
        <w:sectPr w:rsidR="00587CA8">
          <w:pgSz w:w="11920" w:h="16840"/>
          <w:pgMar w:top="780" w:right="1340" w:bottom="880" w:left="1280" w:header="547" w:footer="692" w:gutter="0"/>
          <w:cols w:space="720"/>
        </w:sectPr>
      </w:pPr>
    </w:p>
    <w:p w14:paraId="7E146108" w14:textId="77777777" w:rsidR="00587CA8" w:rsidRDefault="00587CA8" w:rsidP="00587CA8">
      <w:pPr>
        <w:spacing w:before="7" w:after="0" w:line="140" w:lineRule="exact"/>
        <w:rPr>
          <w:sz w:val="14"/>
          <w:szCs w:val="14"/>
        </w:rPr>
      </w:pPr>
    </w:p>
    <w:p w14:paraId="6EDB725B" w14:textId="77777777" w:rsidR="00587CA8" w:rsidRDefault="00587CA8" w:rsidP="00587CA8">
      <w:pPr>
        <w:spacing w:after="0" w:line="200" w:lineRule="exact"/>
        <w:rPr>
          <w:sz w:val="20"/>
          <w:szCs w:val="20"/>
        </w:rPr>
      </w:pPr>
    </w:p>
    <w:p w14:paraId="73BEF009" w14:textId="77777777" w:rsidR="00587CA8" w:rsidRDefault="00587CA8" w:rsidP="00587CA8">
      <w:pPr>
        <w:spacing w:after="0" w:line="200" w:lineRule="exact"/>
        <w:rPr>
          <w:sz w:val="20"/>
          <w:szCs w:val="20"/>
        </w:rPr>
      </w:pPr>
    </w:p>
    <w:bookmarkStart w:id="4" w:name="Module4"/>
    <w:p w14:paraId="7F0B8785" w14:textId="77777777" w:rsidR="00587CA8" w:rsidRPr="00F13CB0" w:rsidRDefault="00587CA8" w:rsidP="00587CA8">
      <w:pPr>
        <w:spacing w:before="24" w:after="0" w:line="240" w:lineRule="auto"/>
        <w:ind w:left="137" w:right="-20"/>
        <w:rPr>
          <w:rFonts w:ascii="Arial" w:eastAsia="Arial" w:hAnsi="Arial" w:cs="Arial"/>
          <w:color w:val="98C43D"/>
          <w:spacing w:val="-5"/>
          <w:sz w:val="28"/>
          <w:szCs w:val="28"/>
        </w:rPr>
      </w:pPr>
      <w:r w:rsidRPr="00F13CB0">
        <w:rPr>
          <w:rFonts w:ascii="Arial" w:eastAsia="Arial" w:hAnsi="Arial" w:cs="Arial"/>
          <w:noProof/>
          <w:color w:val="98C43D"/>
          <w:spacing w:val="-5"/>
          <w:sz w:val="28"/>
          <w:szCs w:val="28"/>
          <w:lang w:val="en-GB" w:eastAsia="en-GB"/>
        </w:rPr>
        <mc:AlternateContent>
          <mc:Choice Requires="wpg">
            <w:drawing>
              <wp:anchor distT="0" distB="0" distL="114300" distR="114300" simplePos="0" relativeHeight="251669504" behindDoc="1" locked="0" layoutInCell="1" allowOverlap="1" wp14:anchorId="15B0396E" wp14:editId="2497E111">
                <wp:simplePos x="0" y="0"/>
                <wp:positionH relativeFrom="page">
                  <wp:posOffset>899795</wp:posOffset>
                </wp:positionH>
                <wp:positionV relativeFrom="paragraph">
                  <wp:posOffset>257175</wp:posOffset>
                </wp:positionV>
                <wp:extent cx="5760085" cy="1270"/>
                <wp:effectExtent l="13970" t="13970" r="7620" b="381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39"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74E5E" id="Group 12" o:spid="_x0000_s1026" style="position:absolute;margin-left:70.85pt;margin-top:20.25pt;width:453.55pt;height:.1pt;z-index:-251646976;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G78cA&#10;AADbAAAADwAAAGRycy9kb3ducmV2LnhtbESPW2vCQBSE34X+h+UU+qYbWyw1ukrpRfpgC95Q3w7Z&#10;0000ezZkt0n6712h0MdhZr5hpvPOlqKh2heOFQwHCQjizOmCjYLt5r3/BMIHZI2lY1LwSx7ms5ve&#10;FFPtWl5Rsw5GRAj7FBXkIVSplD7LyaIfuIo4et+uthiirI3UNbYRbkt5nySP0mLBcSHHil5yys7r&#10;H6tgZE6HsNjsv1rTfNJxORq+vjU7pe5uu+cJiEBd+A//tT+0gocxXL/EH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Mhu/HAAAA2wAAAA8AAAAAAAAAAAAAAAAAmAIAAGRy&#10;cy9kb3ducmV2LnhtbFBLBQYAAAAABAAEAPUAAACMAwAAAAA=&#10;" path="m,l9071,e" filled="f" strokecolor="#98c43d" strokeweight=".5pt">
                  <v:path arrowok="t" o:connecttype="custom" o:connectlocs="0,0;9071,0" o:connectangles="0,0"/>
                </v:shape>
                <w10:wrap anchorx="page"/>
              </v:group>
            </w:pict>
          </mc:Fallback>
        </mc:AlternateContent>
      </w:r>
      <w:r w:rsidRPr="00587CA8">
        <w:rPr>
          <w:rFonts w:ascii="Arial" w:eastAsia="Arial" w:hAnsi="Arial" w:cs="Arial"/>
          <w:color w:val="98C43D"/>
          <w:spacing w:val="-5"/>
          <w:sz w:val="28"/>
          <w:szCs w:val="28"/>
        </w:rPr>
        <w:t>Statement of financial activities (SoFA</w:t>
      </w:r>
      <w:r w:rsidR="0086505D">
        <w:rPr>
          <w:rFonts w:ascii="Arial" w:eastAsia="Arial" w:hAnsi="Arial" w:cs="Arial"/>
          <w:color w:val="98C43D"/>
          <w:spacing w:val="-5"/>
          <w:sz w:val="28"/>
          <w:szCs w:val="28"/>
        </w:rPr>
        <w:t>)</w:t>
      </w:r>
      <w:r w:rsidRPr="00587CA8">
        <w:rPr>
          <w:rFonts w:ascii="Arial" w:eastAsia="Arial" w:hAnsi="Arial" w:cs="Arial"/>
          <w:color w:val="98C43D"/>
          <w:spacing w:val="-5"/>
          <w:sz w:val="28"/>
          <w:szCs w:val="28"/>
        </w:rPr>
        <w:t xml:space="preserve"> </w:t>
      </w:r>
      <w:r w:rsidRPr="00F655C1">
        <w:rPr>
          <w:rFonts w:ascii="Arial" w:eastAsia="Arial" w:hAnsi="Arial" w:cs="Arial"/>
          <w:color w:val="98C43D"/>
          <w:spacing w:val="-5"/>
          <w:sz w:val="28"/>
          <w:szCs w:val="28"/>
        </w:rPr>
        <w:t xml:space="preserve">– module </w:t>
      </w:r>
      <w:r w:rsidR="0086505D">
        <w:rPr>
          <w:rFonts w:ascii="Arial" w:eastAsia="Arial" w:hAnsi="Arial" w:cs="Arial"/>
          <w:color w:val="98C43D"/>
          <w:spacing w:val="-5"/>
          <w:sz w:val="28"/>
          <w:szCs w:val="28"/>
        </w:rPr>
        <w:t>4</w:t>
      </w:r>
    </w:p>
    <w:bookmarkEnd w:id="4"/>
    <w:p w14:paraId="785AFC10" w14:textId="77777777" w:rsidR="00587CA8" w:rsidRDefault="00587CA8" w:rsidP="00587CA8">
      <w:pPr>
        <w:spacing w:before="14" w:after="0" w:line="240" w:lineRule="auto"/>
        <w:ind w:right="-20"/>
        <w:rPr>
          <w:sz w:val="26"/>
          <w:szCs w:val="26"/>
        </w:rPr>
      </w:pPr>
    </w:p>
    <w:p w14:paraId="5584F0AA" w14:textId="52D90EF1" w:rsidR="00587CA8" w:rsidRDefault="00587CA8" w:rsidP="00587CA8">
      <w:pPr>
        <w:spacing w:after="0" w:line="240" w:lineRule="auto"/>
        <w:ind w:left="137" w:right="-20"/>
        <w:rPr>
          <w:rFonts w:ascii="Arial" w:eastAsia="Arial" w:hAnsi="Arial" w:cs="Arial"/>
          <w:sz w:val="24"/>
          <w:szCs w:val="24"/>
        </w:rPr>
      </w:pPr>
      <w:r>
        <w:rPr>
          <w:rFonts w:ascii="Arial" w:eastAsia="Arial" w:hAnsi="Arial" w:cs="Arial"/>
          <w:b/>
          <w:bCs/>
          <w:color w:val="4D4D4F"/>
          <w:spacing w:val="-3"/>
          <w:sz w:val="24"/>
          <w:szCs w:val="24"/>
        </w:rPr>
        <w:t xml:space="preserve">Topic: </w:t>
      </w:r>
      <w:r w:rsidR="0086505D">
        <w:rPr>
          <w:rFonts w:ascii="Arial" w:eastAsia="Arial" w:hAnsi="Arial" w:cs="Arial"/>
          <w:b/>
          <w:bCs/>
          <w:i/>
          <w:color w:val="4D4D4F"/>
          <w:spacing w:val="-3"/>
          <w:sz w:val="24"/>
          <w:szCs w:val="24"/>
        </w:rPr>
        <w:t>Inclusion of governance costs within expenditure on raising funds</w:t>
      </w:r>
    </w:p>
    <w:p w14:paraId="68119787" w14:textId="77777777" w:rsidR="00587CA8" w:rsidRDefault="00587CA8" w:rsidP="00587CA8">
      <w:pPr>
        <w:spacing w:before="6" w:after="0" w:line="150" w:lineRule="exact"/>
        <w:rPr>
          <w:sz w:val="15"/>
          <w:szCs w:val="15"/>
        </w:rPr>
      </w:pPr>
    </w:p>
    <w:p w14:paraId="05EEF3DB" w14:textId="77777777" w:rsidR="00587CA8" w:rsidRDefault="0086505D" w:rsidP="00587CA8">
      <w:pPr>
        <w:tabs>
          <w:tab w:val="left" w:pos="760"/>
        </w:tabs>
        <w:spacing w:after="0" w:line="240" w:lineRule="auto"/>
        <w:ind w:left="137" w:right="-20"/>
        <w:rPr>
          <w:rFonts w:ascii="Arial" w:eastAsia="Arial" w:hAnsi="Arial" w:cs="Arial"/>
        </w:rPr>
      </w:pPr>
      <w:r w:rsidRPr="0086505D">
        <w:rPr>
          <w:rFonts w:ascii="Arial" w:eastAsia="Arial" w:hAnsi="Arial" w:cs="Arial"/>
          <w:color w:val="4D4D4F"/>
        </w:rPr>
        <w:t>For charities reporting on an activity basis, expenditure on raising funds, paragraph 4.44, should include any apportioned support costs. This includes those costs relating to the governance of the charity.</w:t>
      </w:r>
    </w:p>
    <w:p w14:paraId="3B0DDBEB" w14:textId="77777777" w:rsidR="00587CA8" w:rsidRDefault="00587CA8" w:rsidP="00587CA8">
      <w:pPr>
        <w:spacing w:before="5" w:after="0" w:line="110" w:lineRule="exact"/>
        <w:rPr>
          <w:sz w:val="11"/>
          <w:szCs w:val="11"/>
        </w:rPr>
      </w:pPr>
    </w:p>
    <w:p w14:paraId="1DBAAB87" w14:textId="77777777" w:rsidR="00932874" w:rsidRDefault="0086505D" w:rsidP="0086505D">
      <w:pPr>
        <w:tabs>
          <w:tab w:val="left" w:pos="760"/>
        </w:tabs>
        <w:spacing w:after="0" w:line="240" w:lineRule="auto"/>
        <w:ind w:left="137" w:right="-20"/>
        <w:rPr>
          <w:rFonts w:ascii="Arial" w:eastAsia="Arial" w:hAnsi="Arial" w:cs="Arial"/>
        </w:rPr>
      </w:pPr>
      <w:r w:rsidRPr="0086505D">
        <w:rPr>
          <w:rFonts w:ascii="Arial" w:eastAsia="Arial" w:hAnsi="Arial" w:cs="Arial"/>
          <w:color w:val="4D4D4F"/>
        </w:rPr>
        <w:t>Module 8 requires support costs to be analysed across all relevant activities and is illustrated in Table 4. Paragraph 8.8 sets out the principles which must be applied when attributing costs to activities. Governance costs can therefore be allocated to all relevant activities, including expenditure on raising funds.</w:t>
      </w:r>
    </w:p>
    <w:p w14:paraId="1D5315C3" w14:textId="77777777" w:rsidR="0086505D" w:rsidRDefault="0086505D" w:rsidP="0086505D">
      <w:pPr>
        <w:spacing w:after="0" w:line="160" w:lineRule="exact"/>
        <w:rPr>
          <w:sz w:val="16"/>
          <w:szCs w:val="16"/>
        </w:rPr>
      </w:pPr>
    </w:p>
    <w:p w14:paraId="1776AAC4" w14:textId="77777777" w:rsidR="0086505D" w:rsidRDefault="0086505D" w:rsidP="0086505D">
      <w:pPr>
        <w:spacing w:after="0" w:line="160" w:lineRule="exact"/>
        <w:rPr>
          <w:sz w:val="16"/>
          <w:szCs w:val="16"/>
        </w:rPr>
      </w:pPr>
    </w:p>
    <w:p w14:paraId="3E81DB46" w14:textId="77777777" w:rsidR="0086505D" w:rsidRPr="003A6AAE" w:rsidRDefault="0086505D" w:rsidP="0086505D">
      <w:pPr>
        <w:tabs>
          <w:tab w:val="left" w:pos="760"/>
        </w:tabs>
        <w:spacing w:after="0" w:line="240" w:lineRule="auto"/>
        <w:ind w:left="1440" w:right="-20" w:hanging="1303"/>
        <w:rPr>
          <w:rFonts w:ascii="Arial" w:eastAsia="Arial" w:hAnsi="Arial" w:cs="Arial"/>
          <w:color w:val="4D4D4F"/>
        </w:rPr>
      </w:pPr>
    </w:p>
    <w:p w14:paraId="16C5DD81" w14:textId="77777777" w:rsidR="0086505D" w:rsidRDefault="0086505D" w:rsidP="0086505D">
      <w:pPr>
        <w:spacing w:after="0"/>
        <w:sectPr w:rsidR="0086505D">
          <w:pgSz w:w="11920" w:h="16840"/>
          <w:pgMar w:top="780" w:right="1340" w:bottom="880" w:left="1280" w:header="547" w:footer="692" w:gutter="0"/>
          <w:cols w:space="720"/>
        </w:sectPr>
      </w:pPr>
    </w:p>
    <w:p w14:paraId="3FCF65DF" w14:textId="77777777" w:rsidR="00396FC6" w:rsidRDefault="00396FC6" w:rsidP="00396FC6">
      <w:pPr>
        <w:spacing w:before="7" w:after="0" w:line="140" w:lineRule="exact"/>
        <w:rPr>
          <w:sz w:val="14"/>
          <w:szCs w:val="14"/>
        </w:rPr>
      </w:pPr>
    </w:p>
    <w:p w14:paraId="1283E4D8" w14:textId="77777777" w:rsidR="00396FC6" w:rsidRDefault="00396FC6" w:rsidP="00396FC6">
      <w:pPr>
        <w:spacing w:after="0" w:line="200" w:lineRule="exact"/>
        <w:rPr>
          <w:sz w:val="20"/>
          <w:szCs w:val="20"/>
        </w:rPr>
      </w:pPr>
    </w:p>
    <w:p w14:paraId="68EEFB39" w14:textId="77777777" w:rsidR="00396FC6" w:rsidRDefault="00396FC6" w:rsidP="00396FC6">
      <w:pPr>
        <w:spacing w:after="0" w:line="200" w:lineRule="exact"/>
        <w:rPr>
          <w:sz w:val="20"/>
          <w:szCs w:val="20"/>
        </w:rPr>
      </w:pPr>
    </w:p>
    <w:p w14:paraId="3328A1DC" w14:textId="77777777" w:rsidR="00396FC6" w:rsidRDefault="00396FC6" w:rsidP="00396FC6">
      <w:pPr>
        <w:spacing w:before="24" w:after="0" w:line="240" w:lineRule="auto"/>
        <w:ind w:left="137" w:right="-20"/>
        <w:rPr>
          <w:rFonts w:ascii="Arial" w:eastAsia="Arial" w:hAnsi="Arial" w:cs="Arial"/>
          <w:sz w:val="28"/>
          <w:szCs w:val="28"/>
        </w:rPr>
      </w:pPr>
      <w:bookmarkStart w:id="5" w:name="Module5"/>
      <w:r>
        <w:rPr>
          <w:rFonts w:ascii="Arial" w:eastAsia="Arial" w:hAnsi="Arial" w:cs="Arial"/>
          <w:color w:val="98C43D"/>
          <w:spacing w:val="-1"/>
          <w:sz w:val="28"/>
          <w:szCs w:val="28"/>
        </w:rPr>
        <w:t xml:space="preserve">Recognition of income, including legacies, grants </w:t>
      </w:r>
      <w:r w:rsidRPr="00A476FC">
        <w:rPr>
          <w:rFonts w:ascii="Arial" w:eastAsia="Arial" w:hAnsi="Arial" w:cs="Arial"/>
          <w:color w:val="98C43D"/>
          <w:spacing w:val="-1"/>
          <w:sz w:val="28"/>
          <w:szCs w:val="28"/>
        </w:rPr>
        <w:t xml:space="preserve">and </w:t>
      </w:r>
      <w:r>
        <w:rPr>
          <w:rFonts w:ascii="Arial" w:eastAsia="Arial" w:hAnsi="Arial" w:cs="Arial"/>
          <w:color w:val="98C43D"/>
          <w:spacing w:val="-1"/>
          <w:sz w:val="28"/>
          <w:szCs w:val="28"/>
        </w:rPr>
        <w:t>contract income</w:t>
      </w:r>
      <w:r w:rsidRPr="00587CA8">
        <w:rPr>
          <w:rFonts w:ascii="Arial" w:eastAsia="Arial" w:hAnsi="Arial" w:cs="Arial"/>
          <w:color w:val="98C43D"/>
          <w:spacing w:val="-5"/>
          <w:sz w:val="28"/>
          <w:szCs w:val="28"/>
        </w:rPr>
        <w:t xml:space="preserve"> </w:t>
      </w:r>
      <w:r w:rsidRPr="00F655C1">
        <w:rPr>
          <w:rFonts w:ascii="Arial" w:eastAsia="Arial" w:hAnsi="Arial" w:cs="Arial"/>
          <w:color w:val="98C43D"/>
          <w:spacing w:val="-5"/>
          <w:sz w:val="28"/>
          <w:szCs w:val="28"/>
        </w:rPr>
        <w:t xml:space="preserve">– module </w:t>
      </w:r>
      <w:r>
        <w:rPr>
          <w:rFonts w:ascii="Arial" w:eastAsia="Arial" w:hAnsi="Arial" w:cs="Arial"/>
          <w:color w:val="98C43D"/>
          <w:spacing w:val="-5"/>
          <w:sz w:val="28"/>
          <w:szCs w:val="28"/>
        </w:rPr>
        <w:t>5</w:t>
      </w:r>
    </w:p>
    <w:bookmarkEnd w:id="5"/>
    <w:p w14:paraId="38D63AD5" w14:textId="77777777" w:rsidR="00396FC6" w:rsidRDefault="00396FC6" w:rsidP="00396FC6">
      <w:pPr>
        <w:spacing w:before="14" w:after="0" w:line="240" w:lineRule="auto"/>
        <w:ind w:right="-20"/>
        <w:rPr>
          <w:sz w:val="26"/>
          <w:szCs w:val="26"/>
        </w:rPr>
      </w:pPr>
      <w:r>
        <w:rPr>
          <w:noProof/>
          <w:lang w:val="en-GB" w:eastAsia="en-GB"/>
        </w:rPr>
        <mc:AlternateContent>
          <mc:Choice Requires="wpg">
            <w:drawing>
              <wp:anchor distT="0" distB="0" distL="114300" distR="114300" simplePos="0" relativeHeight="251671552" behindDoc="1" locked="0" layoutInCell="1" allowOverlap="1" wp14:anchorId="71A2142D" wp14:editId="71ECFBBB">
                <wp:simplePos x="0" y="0"/>
                <wp:positionH relativeFrom="page">
                  <wp:posOffset>887095</wp:posOffset>
                </wp:positionH>
                <wp:positionV relativeFrom="paragraph">
                  <wp:posOffset>37796</wp:posOffset>
                </wp:positionV>
                <wp:extent cx="5760085" cy="1270"/>
                <wp:effectExtent l="0" t="0" r="12065" b="17780"/>
                <wp:wrapNone/>
                <wp:docPr id="4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395"/>
                          <a:chExt cx="9071" cy="2"/>
                        </a:xfrm>
                      </wpg:grpSpPr>
                      <wps:wsp>
                        <wps:cNvPr id="43" name="Freeform 11"/>
                        <wps:cNvSpPr>
                          <a:spLocks/>
                        </wps:cNvSpPr>
                        <wps:spPr bwMode="auto">
                          <a:xfrm>
                            <a:off x="1417" y="39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DBC66" id="Group 10" o:spid="_x0000_s1026" style="position:absolute;margin-left:69.85pt;margin-top:3pt;width:453.55pt;height:.1pt;z-index:-251644928;mso-position-horizontal-relative:page" coordorigin="1417,39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">
                <v:shape id="Freeform 11" o:spid="_x0000_s1027" style="position:absolute;left:1417;top:39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CeMcA&#10;AADbAAAADwAAAGRycy9kb3ducmV2LnhtbESPW2vCQBSE3wv9D8sp9K1ubLVIdJXSi/hgC95Q3w7Z&#10;003a7NmQXZP037uC0MdhZr5hJrPOlqKh2heOFfR7CQjizOmCjYLt5uNhBMIHZI2lY1LwRx5m09ub&#10;CabatbyiZh2MiBD2KSrIQ6hSKX2Wk0XfcxVx9L5dbTFEWRupa2wj3JbyMUmepcWC40KOFb3mlP2u&#10;T1bB0Pwcwnyz/2pN80nH5bD/9t7slLq/617GIAJ14T98bS+0gsETXL7EHyC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iwnjHAAAA2wAAAA8AAAAAAAAAAAAAAAAAmAIAAGRy&#10;cy9kb3ducmV2LnhtbFBLBQYAAAAABAAEAPUAAACMAwAAAAA=&#10;" path="m,l9071,e" filled="f" strokecolor="#98c43d" strokeweight=".5pt">
                  <v:path arrowok="t" o:connecttype="custom" o:connectlocs="0,0;9071,0" o:connectangles="0,0"/>
                </v:shape>
                <w10:wrap anchorx="page"/>
              </v:group>
            </w:pict>
          </mc:Fallback>
        </mc:AlternateContent>
      </w:r>
    </w:p>
    <w:p w14:paraId="3EA49DB9" w14:textId="77777777" w:rsidR="00E601DC" w:rsidRDefault="00E601DC" w:rsidP="00E601DC">
      <w:pPr>
        <w:spacing w:after="0" w:line="240" w:lineRule="auto"/>
        <w:ind w:left="137" w:right="-20"/>
        <w:rPr>
          <w:rFonts w:ascii="Arial" w:eastAsia="Arial" w:hAnsi="Arial" w:cs="Arial"/>
          <w:sz w:val="24"/>
          <w:szCs w:val="24"/>
        </w:rPr>
      </w:pPr>
      <w:r>
        <w:rPr>
          <w:rFonts w:ascii="Arial" w:eastAsia="Arial" w:hAnsi="Arial" w:cs="Arial"/>
          <w:b/>
          <w:bCs/>
          <w:color w:val="4D4D4F"/>
          <w:spacing w:val="-3"/>
          <w:sz w:val="24"/>
          <w:szCs w:val="24"/>
        </w:rPr>
        <w:t xml:space="preserve">Topic: </w:t>
      </w:r>
      <w:r w:rsidRPr="00396FC6">
        <w:rPr>
          <w:rFonts w:ascii="Arial" w:eastAsia="Arial" w:hAnsi="Arial" w:cs="Arial"/>
          <w:b/>
          <w:bCs/>
          <w:i/>
          <w:color w:val="4D4D4F"/>
          <w:spacing w:val="-3"/>
          <w:sz w:val="24"/>
          <w:szCs w:val="24"/>
        </w:rPr>
        <w:t xml:space="preserve">Treatment of </w:t>
      </w:r>
      <w:r>
        <w:rPr>
          <w:rFonts w:ascii="Arial" w:eastAsia="Arial" w:hAnsi="Arial" w:cs="Arial"/>
          <w:b/>
          <w:bCs/>
          <w:i/>
          <w:color w:val="4D4D4F"/>
          <w:spacing w:val="-3"/>
          <w:sz w:val="24"/>
          <w:szCs w:val="24"/>
        </w:rPr>
        <w:t>funding</w:t>
      </w:r>
      <w:r w:rsidRPr="00396FC6">
        <w:rPr>
          <w:rFonts w:ascii="Arial" w:eastAsia="Arial" w:hAnsi="Arial" w:cs="Arial"/>
          <w:b/>
          <w:bCs/>
          <w:i/>
          <w:color w:val="4D4D4F"/>
          <w:spacing w:val="-3"/>
          <w:sz w:val="24"/>
          <w:szCs w:val="24"/>
        </w:rPr>
        <w:t xml:space="preserve"> ‘clawed back’ by funders</w:t>
      </w:r>
    </w:p>
    <w:p w14:paraId="4C439AC6" w14:textId="77777777" w:rsidR="00E601DC" w:rsidRDefault="00E601DC" w:rsidP="00E601DC">
      <w:pPr>
        <w:spacing w:before="6" w:after="0" w:line="150" w:lineRule="exact"/>
        <w:rPr>
          <w:sz w:val="15"/>
          <w:szCs w:val="15"/>
        </w:rPr>
      </w:pPr>
    </w:p>
    <w:p w14:paraId="58956C3B" w14:textId="77777777" w:rsidR="00E601DC" w:rsidRDefault="00E601DC" w:rsidP="00E601DC">
      <w:pPr>
        <w:tabs>
          <w:tab w:val="left" w:pos="760"/>
        </w:tabs>
        <w:spacing w:after="0" w:line="240" w:lineRule="auto"/>
        <w:ind w:left="137" w:right="-20"/>
        <w:rPr>
          <w:rFonts w:ascii="Arial" w:eastAsia="Arial" w:hAnsi="Arial" w:cs="Arial"/>
          <w:color w:val="4D4D4F"/>
        </w:rPr>
      </w:pPr>
      <w:r w:rsidRPr="00396FC6">
        <w:rPr>
          <w:rFonts w:ascii="Arial" w:eastAsia="Arial" w:hAnsi="Arial" w:cs="Arial"/>
          <w:color w:val="4D4D4F"/>
        </w:rPr>
        <w:t xml:space="preserve">Funders may request a charity returns </w:t>
      </w:r>
      <w:r>
        <w:rPr>
          <w:rFonts w:ascii="Arial" w:eastAsia="Arial" w:hAnsi="Arial" w:cs="Arial"/>
          <w:color w:val="4D4D4F"/>
        </w:rPr>
        <w:t>funding</w:t>
      </w:r>
      <w:r w:rsidRPr="00396FC6">
        <w:rPr>
          <w:rFonts w:ascii="Arial" w:eastAsia="Arial" w:hAnsi="Arial" w:cs="Arial"/>
          <w:color w:val="4D4D4F"/>
        </w:rPr>
        <w:t xml:space="preserve"> </w:t>
      </w:r>
      <w:r>
        <w:rPr>
          <w:rFonts w:ascii="Arial" w:eastAsia="Arial" w:hAnsi="Arial" w:cs="Arial"/>
          <w:color w:val="4D4D4F"/>
        </w:rPr>
        <w:t>received or promised</w:t>
      </w:r>
      <w:r w:rsidRPr="00396FC6">
        <w:rPr>
          <w:rFonts w:ascii="Arial" w:eastAsia="Arial" w:hAnsi="Arial" w:cs="Arial"/>
          <w:color w:val="4D4D4F"/>
        </w:rPr>
        <w:t xml:space="preserve"> in previous years. This may be ‘clawed back’ as a result of the funding being unspent or ineligibly spent by the charity.</w:t>
      </w:r>
    </w:p>
    <w:p w14:paraId="7765E627" w14:textId="77777777" w:rsidR="00E601DC" w:rsidRPr="00D4752C" w:rsidRDefault="00E601DC" w:rsidP="00E601DC">
      <w:pPr>
        <w:tabs>
          <w:tab w:val="left" w:pos="760"/>
        </w:tabs>
        <w:spacing w:after="0" w:line="240" w:lineRule="auto"/>
        <w:ind w:left="137" w:right="-20"/>
        <w:rPr>
          <w:rFonts w:eastAsia="Arial" w:cs="Arial"/>
          <w:color w:val="4D4D4F"/>
          <w:sz w:val="11"/>
          <w:szCs w:val="11"/>
        </w:rPr>
      </w:pPr>
    </w:p>
    <w:p w14:paraId="1B3B5464" w14:textId="77777777" w:rsidR="00E601DC" w:rsidRDefault="00E601DC" w:rsidP="00E601DC">
      <w:pPr>
        <w:tabs>
          <w:tab w:val="left" w:pos="760"/>
        </w:tabs>
        <w:spacing w:after="0" w:line="240" w:lineRule="auto"/>
        <w:ind w:left="137" w:right="-20"/>
        <w:rPr>
          <w:rFonts w:ascii="Arial" w:eastAsia="Arial" w:hAnsi="Arial" w:cs="Arial"/>
          <w:color w:val="4D4D4F"/>
        </w:rPr>
      </w:pPr>
      <w:r w:rsidRPr="00D4752C">
        <w:rPr>
          <w:rFonts w:ascii="Arial" w:eastAsia="Arial" w:hAnsi="Arial" w:cs="Arial"/>
          <w:color w:val="4D4D4F"/>
        </w:rPr>
        <w:t>In those instances where the charity has</w:t>
      </w:r>
      <w:r>
        <w:rPr>
          <w:rFonts w:ascii="Arial" w:eastAsia="Arial" w:hAnsi="Arial" w:cs="Arial"/>
          <w:color w:val="4D4D4F"/>
        </w:rPr>
        <w:t xml:space="preserve"> not created a provision in respect of this repayment and has </w:t>
      </w:r>
      <w:r w:rsidRPr="00D4752C">
        <w:rPr>
          <w:rFonts w:ascii="Arial" w:eastAsia="Arial" w:hAnsi="Arial" w:cs="Arial"/>
          <w:color w:val="4D4D4F"/>
        </w:rPr>
        <w:t>fully recognised the funding as income in previous years, the charity will need to consider whether a provision or a liability for the amount repayable is created.</w:t>
      </w:r>
    </w:p>
    <w:p w14:paraId="4E213B4C" w14:textId="77777777" w:rsidR="00E601DC" w:rsidRDefault="00E601DC" w:rsidP="00E601DC">
      <w:pPr>
        <w:spacing w:before="5" w:after="0" w:line="110" w:lineRule="exact"/>
        <w:rPr>
          <w:sz w:val="11"/>
          <w:szCs w:val="11"/>
        </w:rPr>
      </w:pPr>
    </w:p>
    <w:p w14:paraId="6BECAA93" w14:textId="77777777" w:rsidR="00E601DC" w:rsidRDefault="00E601DC" w:rsidP="00E601DC">
      <w:pPr>
        <w:spacing w:before="14" w:after="0" w:line="240" w:lineRule="auto"/>
        <w:ind w:right="-20"/>
        <w:rPr>
          <w:sz w:val="26"/>
          <w:szCs w:val="26"/>
        </w:rPr>
      </w:pPr>
    </w:p>
    <w:p w14:paraId="7158ACAE" w14:textId="77777777" w:rsidR="00E601DC" w:rsidRPr="006B6F98" w:rsidRDefault="00E601DC" w:rsidP="00E601DC">
      <w:pPr>
        <w:tabs>
          <w:tab w:val="left" w:pos="760"/>
        </w:tabs>
        <w:spacing w:after="0" w:line="240" w:lineRule="auto"/>
        <w:ind w:left="137" w:right="-20"/>
        <w:rPr>
          <w:rFonts w:ascii="Arial" w:eastAsia="Arial" w:hAnsi="Arial" w:cs="Arial"/>
          <w:b/>
          <w:color w:val="4D4D4F"/>
        </w:rPr>
      </w:pPr>
      <w:r>
        <w:rPr>
          <w:rFonts w:ascii="Arial" w:eastAsia="Arial" w:hAnsi="Arial" w:cs="Arial"/>
          <w:b/>
          <w:color w:val="4D4D4F"/>
        </w:rPr>
        <w:t>Accounting approach</w:t>
      </w:r>
    </w:p>
    <w:p w14:paraId="71E582F9" w14:textId="77777777" w:rsidR="00E601DC" w:rsidRDefault="00E601DC" w:rsidP="00E601DC">
      <w:pPr>
        <w:spacing w:before="5" w:after="0" w:line="110" w:lineRule="exact"/>
        <w:rPr>
          <w:sz w:val="11"/>
          <w:szCs w:val="11"/>
        </w:rPr>
      </w:pPr>
    </w:p>
    <w:p w14:paraId="0CDE7CBA" w14:textId="77777777" w:rsidR="00E601DC" w:rsidRDefault="00E601DC" w:rsidP="00E601DC">
      <w:pPr>
        <w:tabs>
          <w:tab w:val="left" w:pos="760"/>
        </w:tabs>
        <w:spacing w:after="0" w:line="240" w:lineRule="auto"/>
        <w:ind w:left="137" w:right="-20"/>
        <w:rPr>
          <w:rFonts w:ascii="Arial" w:eastAsia="Arial" w:hAnsi="Arial" w:cs="Arial"/>
          <w:color w:val="4D4D4F"/>
        </w:rPr>
      </w:pPr>
      <w:r>
        <w:rPr>
          <w:rFonts w:ascii="Arial" w:eastAsia="Arial" w:hAnsi="Arial" w:cs="Arial"/>
          <w:color w:val="4D4D4F"/>
        </w:rPr>
        <w:t xml:space="preserve">Charities must first determine whether the </w:t>
      </w:r>
      <w:r w:rsidRPr="000D5BA4">
        <w:rPr>
          <w:rFonts w:ascii="Arial" w:eastAsia="Arial" w:hAnsi="Arial" w:cs="Arial"/>
          <w:color w:val="4D4D4F"/>
        </w:rPr>
        <w:t xml:space="preserve">income was </w:t>
      </w:r>
      <w:r>
        <w:rPr>
          <w:rFonts w:ascii="Arial" w:eastAsia="Arial" w:hAnsi="Arial" w:cs="Arial"/>
          <w:color w:val="4D4D4F"/>
        </w:rPr>
        <w:t>correctly or incorrectly</w:t>
      </w:r>
      <w:r w:rsidRPr="000D5BA4">
        <w:rPr>
          <w:rFonts w:ascii="Arial" w:eastAsia="Arial" w:hAnsi="Arial" w:cs="Arial"/>
          <w:color w:val="4D4D4F"/>
        </w:rPr>
        <w:t xml:space="preserve"> recognised in the original period</w:t>
      </w:r>
      <w:r>
        <w:rPr>
          <w:rFonts w:ascii="Arial" w:eastAsia="Arial" w:hAnsi="Arial" w:cs="Arial"/>
          <w:color w:val="4D4D4F"/>
        </w:rPr>
        <w:t>. Where the income was recognised incorrectly, this would give rise to a prior period error.</w:t>
      </w:r>
      <w:r w:rsidRPr="00853C5B">
        <w:rPr>
          <w:rFonts w:ascii="Arial" w:eastAsia="Arial" w:hAnsi="Arial" w:cs="Arial"/>
          <w:color w:val="4D4D4F"/>
        </w:rPr>
        <w:t xml:space="preserve"> </w:t>
      </w:r>
      <w:r>
        <w:rPr>
          <w:rFonts w:ascii="Arial" w:eastAsia="Arial" w:hAnsi="Arial" w:cs="Arial"/>
          <w:color w:val="4D4D4F"/>
        </w:rPr>
        <w:t>In such cases where the income has been incorrectly recognised, charities</w:t>
      </w:r>
      <w:r w:rsidRPr="000D5BA4">
        <w:rPr>
          <w:rFonts w:ascii="Arial" w:eastAsia="Arial" w:hAnsi="Arial" w:cs="Arial"/>
          <w:color w:val="4D4D4F"/>
        </w:rPr>
        <w:t xml:space="preserve"> should refer to </w:t>
      </w:r>
      <w:r>
        <w:rPr>
          <w:rFonts w:ascii="Arial" w:eastAsia="Arial" w:hAnsi="Arial" w:cs="Arial"/>
          <w:color w:val="4D4D4F"/>
        </w:rPr>
        <w:t xml:space="preserve">Section 10 of </w:t>
      </w:r>
      <w:r w:rsidRPr="000D5BA4">
        <w:rPr>
          <w:rFonts w:ascii="Arial" w:eastAsia="Arial" w:hAnsi="Arial" w:cs="Arial"/>
          <w:color w:val="4D4D4F"/>
        </w:rPr>
        <w:t>FRS 102</w:t>
      </w:r>
      <w:r>
        <w:rPr>
          <w:rFonts w:ascii="Arial" w:eastAsia="Arial" w:hAnsi="Arial" w:cs="Arial"/>
          <w:color w:val="4D4D4F"/>
        </w:rPr>
        <w:t>.</w:t>
      </w:r>
    </w:p>
    <w:p w14:paraId="4E639F32" w14:textId="77777777" w:rsidR="00E601DC" w:rsidRPr="00084DC7" w:rsidRDefault="00E601DC" w:rsidP="00E601DC">
      <w:pPr>
        <w:tabs>
          <w:tab w:val="left" w:pos="760"/>
        </w:tabs>
        <w:spacing w:after="0" w:line="240" w:lineRule="auto"/>
        <w:ind w:left="137" w:right="-20"/>
        <w:rPr>
          <w:rFonts w:eastAsia="Arial" w:cs="Arial"/>
          <w:color w:val="4D4D4F"/>
          <w:sz w:val="11"/>
          <w:szCs w:val="11"/>
        </w:rPr>
      </w:pPr>
    </w:p>
    <w:p w14:paraId="5EDF20C5" w14:textId="77777777" w:rsidR="00E601DC" w:rsidRDefault="00E601DC" w:rsidP="00E601DC">
      <w:pPr>
        <w:tabs>
          <w:tab w:val="left" w:pos="760"/>
        </w:tabs>
        <w:spacing w:after="0" w:line="240" w:lineRule="auto"/>
        <w:ind w:left="137" w:right="-20"/>
        <w:rPr>
          <w:rFonts w:ascii="Arial" w:eastAsia="Arial" w:hAnsi="Arial" w:cs="Arial"/>
          <w:color w:val="4D4D4F"/>
        </w:rPr>
      </w:pPr>
      <w:r>
        <w:rPr>
          <w:rFonts w:ascii="Arial" w:eastAsia="Arial" w:hAnsi="Arial" w:cs="Arial"/>
          <w:color w:val="4D4D4F"/>
        </w:rPr>
        <w:t>In line with paragraph 10.19 of FRS 102, where the amount repayable relates to funding which has been ineligibly spent, whether this gives rise to a prior period error will depend on the information which was available and could reasonably be expected to have been obtained and taken into account by the charity in those periods when the income was recognised.</w:t>
      </w:r>
    </w:p>
    <w:p w14:paraId="30F91D14" w14:textId="77777777" w:rsidR="00E601DC" w:rsidRPr="00084DC7" w:rsidRDefault="00E601DC" w:rsidP="00E601DC">
      <w:pPr>
        <w:tabs>
          <w:tab w:val="left" w:pos="760"/>
        </w:tabs>
        <w:spacing w:after="0" w:line="240" w:lineRule="auto"/>
        <w:ind w:left="137" w:right="-20"/>
        <w:rPr>
          <w:rFonts w:asciiTheme="majorHAnsi" w:eastAsia="Arial" w:hAnsiTheme="majorHAnsi" w:cs="Arial"/>
          <w:color w:val="4D4D4F"/>
          <w:sz w:val="26"/>
          <w:szCs w:val="26"/>
        </w:rPr>
      </w:pPr>
    </w:p>
    <w:p w14:paraId="5FDD573D" w14:textId="77777777" w:rsidR="00E601DC" w:rsidRDefault="00E601DC" w:rsidP="00E601DC">
      <w:pPr>
        <w:tabs>
          <w:tab w:val="left" w:pos="760"/>
        </w:tabs>
        <w:spacing w:after="0" w:line="240" w:lineRule="auto"/>
        <w:ind w:left="137" w:right="-20"/>
        <w:rPr>
          <w:rFonts w:ascii="Arial" w:eastAsia="Arial" w:hAnsi="Arial" w:cs="Arial"/>
          <w:color w:val="4D4D4F"/>
        </w:rPr>
      </w:pPr>
      <w:r w:rsidRPr="00D4752C">
        <w:rPr>
          <w:rFonts w:ascii="Arial" w:eastAsia="Arial" w:hAnsi="Arial" w:cs="Arial"/>
          <w:color w:val="4D4D4F"/>
        </w:rPr>
        <w:t>Where the</w:t>
      </w:r>
      <w:r>
        <w:rPr>
          <w:rFonts w:ascii="Arial" w:eastAsia="Arial" w:hAnsi="Arial" w:cs="Arial"/>
          <w:color w:val="4D4D4F"/>
        </w:rPr>
        <w:t xml:space="preserve"> income was correctly recognised, there is no prior period error and the accounting approach will depend on the timing of the request from the funder. </w:t>
      </w:r>
    </w:p>
    <w:p w14:paraId="4968AA3C" w14:textId="77777777" w:rsidR="00E601DC" w:rsidRPr="00084DC7" w:rsidRDefault="00E601DC" w:rsidP="00E601DC">
      <w:pPr>
        <w:tabs>
          <w:tab w:val="left" w:pos="760"/>
        </w:tabs>
        <w:spacing w:after="0" w:line="240" w:lineRule="auto"/>
        <w:ind w:left="137" w:right="-20"/>
        <w:rPr>
          <w:rFonts w:eastAsia="Arial" w:cs="Arial"/>
          <w:color w:val="4D4D4F"/>
          <w:sz w:val="11"/>
          <w:szCs w:val="11"/>
        </w:rPr>
      </w:pPr>
    </w:p>
    <w:p w14:paraId="4F5788ED" w14:textId="77777777" w:rsidR="00E601DC" w:rsidRDefault="00E601DC" w:rsidP="00E601DC">
      <w:pPr>
        <w:tabs>
          <w:tab w:val="left" w:pos="760"/>
        </w:tabs>
        <w:spacing w:after="0" w:line="240" w:lineRule="auto"/>
        <w:ind w:left="137" w:right="-20"/>
        <w:rPr>
          <w:rFonts w:ascii="Arial" w:eastAsia="Arial" w:hAnsi="Arial" w:cs="Arial"/>
          <w:color w:val="4D4D4F"/>
        </w:rPr>
      </w:pPr>
      <w:r>
        <w:rPr>
          <w:rFonts w:ascii="Arial" w:eastAsia="Arial" w:hAnsi="Arial" w:cs="Arial"/>
          <w:color w:val="4D4D4F"/>
        </w:rPr>
        <w:t>If the</w:t>
      </w:r>
      <w:r w:rsidRPr="00D4752C">
        <w:rPr>
          <w:rFonts w:ascii="Arial" w:eastAsia="Arial" w:hAnsi="Arial" w:cs="Arial"/>
          <w:color w:val="4D4D4F"/>
        </w:rPr>
        <w:t xml:space="preserve"> request from the funder occurs after the end of the reporting period, but before the accounts are authorised for issue, the charity </w:t>
      </w:r>
      <w:r>
        <w:rPr>
          <w:rFonts w:ascii="Arial" w:eastAsia="Arial" w:hAnsi="Arial" w:cs="Arial"/>
          <w:color w:val="4D4D4F"/>
        </w:rPr>
        <w:t>will</w:t>
      </w:r>
      <w:r w:rsidRPr="00D4752C">
        <w:rPr>
          <w:rFonts w:ascii="Arial" w:eastAsia="Arial" w:hAnsi="Arial" w:cs="Arial"/>
          <w:color w:val="4D4D4F"/>
        </w:rPr>
        <w:t xml:space="preserve"> need to consider whether the post balance sheet event is an ad</w:t>
      </w:r>
      <w:r>
        <w:rPr>
          <w:rFonts w:ascii="Arial" w:eastAsia="Arial" w:hAnsi="Arial" w:cs="Arial"/>
          <w:color w:val="4D4D4F"/>
        </w:rPr>
        <w:t xml:space="preserve">justing or non-adjusting event. </w:t>
      </w:r>
      <w:r w:rsidRPr="00D4752C">
        <w:rPr>
          <w:rFonts w:ascii="Arial" w:eastAsia="Arial" w:hAnsi="Arial" w:cs="Arial"/>
          <w:color w:val="4D4D4F"/>
        </w:rPr>
        <w:t>A post balance sheet event should only be adjusted where it provides evidence of conditions that existed at the balance sheet date.</w:t>
      </w:r>
      <w:r w:rsidRPr="000D5BA4">
        <w:rPr>
          <w:rFonts w:ascii="Arial" w:eastAsia="Arial" w:hAnsi="Arial" w:cs="Arial"/>
          <w:color w:val="4D4D4F"/>
        </w:rPr>
        <w:t xml:space="preserve"> </w:t>
      </w:r>
      <w:r w:rsidRPr="00D4752C">
        <w:rPr>
          <w:rFonts w:ascii="Arial" w:eastAsia="Arial" w:hAnsi="Arial" w:cs="Arial"/>
          <w:color w:val="4D4D4F"/>
        </w:rPr>
        <w:t>There is further guidance on this within Section 32 of FRS 102.</w:t>
      </w:r>
    </w:p>
    <w:p w14:paraId="6C2CD0B9" w14:textId="77777777" w:rsidR="00E601DC" w:rsidRPr="00084DC7" w:rsidRDefault="00E601DC" w:rsidP="00E601DC">
      <w:pPr>
        <w:spacing w:before="5" w:after="0" w:line="110" w:lineRule="exact"/>
        <w:rPr>
          <w:rFonts w:ascii="Arial" w:eastAsia="Arial" w:hAnsi="Arial" w:cs="Arial"/>
          <w:color w:val="4D4D4F"/>
          <w:sz w:val="11"/>
          <w:szCs w:val="11"/>
        </w:rPr>
      </w:pPr>
    </w:p>
    <w:p w14:paraId="0E50473D" w14:textId="2F1E0559" w:rsidR="00E601DC" w:rsidRDefault="00E601DC" w:rsidP="00E601DC">
      <w:pPr>
        <w:tabs>
          <w:tab w:val="left" w:pos="760"/>
        </w:tabs>
        <w:spacing w:after="0" w:line="240" w:lineRule="auto"/>
        <w:ind w:left="137" w:right="-20"/>
        <w:rPr>
          <w:rFonts w:ascii="Arial" w:eastAsia="Arial" w:hAnsi="Arial" w:cs="Arial"/>
          <w:color w:val="4D4D4F"/>
        </w:rPr>
      </w:pPr>
      <w:r>
        <w:rPr>
          <w:rFonts w:ascii="Arial" w:eastAsia="Arial" w:hAnsi="Arial" w:cs="Arial"/>
          <w:color w:val="4D4D4F"/>
        </w:rPr>
        <w:t>W</w:t>
      </w:r>
      <w:r w:rsidRPr="00396FC6">
        <w:rPr>
          <w:rFonts w:ascii="Arial" w:eastAsia="Arial" w:hAnsi="Arial" w:cs="Arial"/>
          <w:color w:val="4D4D4F"/>
        </w:rPr>
        <w:t>here th</w:t>
      </w:r>
      <w:r>
        <w:rPr>
          <w:rFonts w:ascii="Arial" w:eastAsia="Arial" w:hAnsi="Arial" w:cs="Arial"/>
          <w:color w:val="4D4D4F"/>
        </w:rPr>
        <w:t xml:space="preserve">e </w:t>
      </w:r>
      <w:r w:rsidRPr="00D4752C">
        <w:rPr>
          <w:rFonts w:ascii="Arial" w:eastAsia="Arial" w:hAnsi="Arial" w:cs="Arial"/>
          <w:color w:val="4D4D4F"/>
        </w:rPr>
        <w:t xml:space="preserve">request </w:t>
      </w:r>
      <w:r w:rsidRPr="00396FC6">
        <w:rPr>
          <w:rFonts w:ascii="Arial" w:eastAsia="Arial" w:hAnsi="Arial" w:cs="Arial"/>
          <w:color w:val="4D4D4F"/>
        </w:rPr>
        <w:t xml:space="preserve">occurs after the accounts are authorised for issue, the charity </w:t>
      </w:r>
      <w:r>
        <w:rPr>
          <w:rFonts w:ascii="Arial" w:eastAsia="Arial" w:hAnsi="Arial" w:cs="Arial"/>
          <w:color w:val="4D4D4F"/>
        </w:rPr>
        <w:t>should</w:t>
      </w:r>
      <w:r w:rsidRPr="00396FC6">
        <w:rPr>
          <w:rFonts w:ascii="Arial" w:eastAsia="Arial" w:hAnsi="Arial" w:cs="Arial"/>
          <w:color w:val="4D4D4F"/>
        </w:rPr>
        <w:t xml:space="preserve"> </w:t>
      </w:r>
      <w:r>
        <w:rPr>
          <w:rFonts w:ascii="Arial" w:eastAsia="Arial" w:hAnsi="Arial" w:cs="Arial"/>
          <w:color w:val="4D4D4F"/>
        </w:rPr>
        <w:t xml:space="preserve">account for the </w:t>
      </w:r>
      <w:r w:rsidR="00D122C5">
        <w:rPr>
          <w:rFonts w:ascii="Arial" w:eastAsia="Arial" w:hAnsi="Arial" w:cs="Arial"/>
          <w:color w:val="4D4D4F"/>
        </w:rPr>
        <w:t>‘</w:t>
      </w:r>
      <w:r>
        <w:rPr>
          <w:rFonts w:ascii="Arial" w:eastAsia="Arial" w:hAnsi="Arial" w:cs="Arial"/>
          <w:color w:val="4D4D4F"/>
        </w:rPr>
        <w:t>claw back</w:t>
      </w:r>
      <w:r w:rsidR="00D122C5">
        <w:rPr>
          <w:rFonts w:ascii="Arial" w:eastAsia="Arial" w:hAnsi="Arial" w:cs="Arial"/>
          <w:color w:val="4D4D4F"/>
        </w:rPr>
        <w:t>’</w:t>
      </w:r>
      <w:r>
        <w:rPr>
          <w:rFonts w:ascii="Arial" w:eastAsia="Arial" w:hAnsi="Arial" w:cs="Arial"/>
          <w:color w:val="4D4D4F"/>
        </w:rPr>
        <w:t xml:space="preserve"> in the subsequent accounting period</w:t>
      </w:r>
      <w:r w:rsidRPr="00396FC6">
        <w:rPr>
          <w:rFonts w:ascii="Arial" w:eastAsia="Arial" w:hAnsi="Arial" w:cs="Arial"/>
          <w:color w:val="4D4D4F"/>
        </w:rPr>
        <w:t>.</w:t>
      </w:r>
    </w:p>
    <w:p w14:paraId="38C9B6B8" w14:textId="77777777" w:rsidR="00E601DC" w:rsidRPr="00084DC7" w:rsidRDefault="00E601DC" w:rsidP="00E601DC">
      <w:pPr>
        <w:tabs>
          <w:tab w:val="left" w:pos="760"/>
        </w:tabs>
        <w:spacing w:after="0" w:line="240" w:lineRule="auto"/>
        <w:ind w:left="137" w:right="-20"/>
        <w:rPr>
          <w:rFonts w:eastAsia="Arial" w:cs="Arial"/>
          <w:color w:val="4D4D4F"/>
          <w:sz w:val="26"/>
          <w:szCs w:val="26"/>
        </w:rPr>
      </w:pPr>
    </w:p>
    <w:p w14:paraId="74A3B6DD" w14:textId="54EFA286" w:rsidR="005F41E5" w:rsidRDefault="00E601DC" w:rsidP="005F41E5">
      <w:pPr>
        <w:tabs>
          <w:tab w:val="left" w:pos="760"/>
        </w:tabs>
        <w:spacing w:after="0" w:line="240" w:lineRule="auto"/>
        <w:ind w:left="137" w:right="-20"/>
        <w:rPr>
          <w:rFonts w:ascii="Arial" w:eastAsia="Arial" w:hAnsi="Arial" w:cs="Arial"/>
          <w:color w:val="4D4D4F"/>
        </w:rPr>
      </w:pPr>
      <w:r w:rsidRPr="007A3DD7">
        <w:rPr>
          <w:rFonts w:ascii="Arial" w:eastAsia="Arial" w:hAnsi="Arial" w:cs="Arial"/>
          <w:color w:val="4D4D4F"/>
        </w:rPr>
        <w:t xml:space="preserve">When the provision or liability for the </w:t>
      </w:r>
      <w:r>
        <w:rPr>
          <w:rFonts w:ascii="Arial" w:eastAsia="Arial" w:hAnsi="Arial" w:cs="Arial"/>
          <w:color w:val="4D4D4F"/>
        </w:rPr>
        <w:t>‘</w:t>
      </w:r>
      <w:r w:rsidRPr="007A3DD7">
        <w:rPr>
          <w:rFonts w:ascii="Arial" w:eastAsia="Arial" w:hAnsi="Arial" w:cs="Arial"/>
          <w:color w:val="4D4D4F"/>
        </w:rPr>
        <w:t>claw back</w:t>
      </w:r>
      <w:r>
        <w:rPr>
          <w:rFonts w:ascii="Arial" w:eastAsia="Arial" w:hAnsi="Arial" w:cs="Arial"/>
          <w:color w:val="4D4D4F"/>
        </w:rPr>
        <w:t>’</w:t>
      </w:r>
      <w:r w:rsidRPr="007A3DD7">
        <w:rPr>
          <w:rFonts w:ascii="Arial" w:eastAsia="Arial" w:hAnsi="Arial" w:cs="Arial"/>
          <w:color w:val="4D4D4F"/>
        </w:rPr>
        <w:t xml:space="preserve"> is recognised, the debit side entry will be a downward adjustment to total income in order to reduce the level of income over-recognised in previous years. The amount should be debited to the fund where the income was initially recognised</w:t>
      </w:r>
      <w:r>
        <w:rPr>
          <w:rFonts w:ascii="Arial" w:eastAsia="Arial" w:hAnsi="Arial" w:cs="Arial"/>
          <w:color w:val="4D4D4F"/>
        </w:rPr>
        <w:t>, where possible</w:t>
      </w:r>
      <w:r w:rsidRPr="007A3DD7">
        <w:rPr>
          <w:rFonts w:ascii="Arial" w:eastAsia="Arial" w:hAnsi="Arial" w:cs="Arial"/>
          <w:color w:val="4D4D4F"/>
        </w:rPr>
        <w:t>.</w:t>
      </w:r>
      <w:r w:rsidR="005F41E5" w:rsidRPr="005F41E5">
        <w:rPr>
          <w:rFonts w:ascii="Arial" w:eastAsia="Arial" w:hAnsi="Arial" w:cs="Arial"/>
          <w:color w:val="4D4D4F"/>
        </w:rPr>
        <w:t xml:space="preserve"> </w:t>
      </w:r>
    </w:p>
    <w:p w14:paraId="47AB2988" w14:textId="77777777" w:rsidR="005F41E5" w:rsidRDefault="005F41E5" w:rsidP="005F41E5">
      <w:pPr>
        <w:spacing w:before="5" w:after="0" w:line="110" w:lineRule="exact"/>
        <w:rPr>
          <w:sz w:val="11"/>
          <w:szCs w:val="11"/>
        </w:rPr>
      </w:pPr>
    </w:p>
    <w:p w14:paraId="0C6519F4" w14:textId="77777777" w:rsidR="005F41E5" w:rsidRDefault="005F41E5" w:rsidP="005F41E5">
      <w:pPr>
        <w:spacing w:before="14" w:after="0" w:line="240" w:lineRule="auto"/>
        <w:ind w:right="-20"/>
        <w:rPr>
          <w:sz w:val="26"/>
          <w:szCs w:val="26"/>
        </w:rPr>
      </w:pPr>
    </w:p>
    <w:p w14:paraId="7BA321A9" w14:textId="66276F6E" w:rsidR="00E601DC" w:rsidRPr="006B6F98" w:rsidRDefault="005F41E5" w:rsidP="00E601DC">
      <w:pPr>
        <w:tabs>
          <w:tab w:val="left" w:pos="760"/>
        </w:tabs>
        <w:spacing w:after="0" w:line="240" w:lineRule="auto"/>
        <w:ind w:left="137" w:right="-20"/>
        <w:rPr>
          <w:rFonts w:ascii="Arial" w:eastAsia="Arial" w:hAnsi="Arial" w:cs="Arial"/>
          <w:b/>
          <w:color w:val="4D4D4F"/>
        </w:rPr>
      </w:pPr>
      <w:r>
        <w:rPr>
          <w:rFonts w:ascii="Arial" w:eastAsia="Arial" w:hAnsi="Arial" w:cs="Arial"/>
          <w:b/>
          <w:color w:val="4D4D4F"/>
        </w:rPr>
        <w:t>Disclosure</w:t>
      </w:r>
    </w:p>
    <w:p w14:paraId="3C4F44D5" w14:textId="77777777" w:rsidR="00E601DC" w:rsidRDefault="00E601DC" w:rsidP="00E601DC">
      <w:pPr>
        <w:spacing w:before="5" w:after="0" w:line="110" w:lineRule="exact"/>
        <w:rPr>
          <w:sz w:val="11"/>
          <w:szCs w:val="11"/>
        </w:rPr>
      </w:pPr>
    </w:p>
    <w:p w14:paraId="481083B5" w14:textId="77777777" w:rsidR="00E601DC" w:rsidRPr="001428A5" w:rsidRDefault="00E601DC" w:rsidP="00E601DC">
      <w:pPr>
        <w:tabs>
          <w:tab w:val="left" w:pos="760"/>
        </w:tabs>
        <w:spacing w:after="0" w:line="240" w:lineRule="auto"/>
        <w:ind w:left="137" w:right="-20"/>
        <w:rPr>
          <w:rFonts w:eastAsia="Arial" w:cs="Arial"/>
          <w:color w:val="4D4D4F"/>
          <w:sz w:val="11"/>
          <w:szCs w:val="11"/>
        </w:rPr>
      </w:pPr>
      <w:r>
        <w:rPr>
          <w:rFonts w:ascii="Arial" w:eastAsia="Arial" w:hAnsi="Arial" w:cs="Arial"/>
          <w:color w:val="4D4D4F"/>
        </w:rPr>
        <w:t>A charity should separately disclosure material amounts ‘clawed back’ by funders which relate to funding</w:t>
      </w:r>
      <w:r w:rsidRPr="00396FC6">
        <w:rPr>
          <w:rFonts w:ascii="Arial" w:eastAsia="Arial" w:hAnsi="Arial" w:cs="Arial"/>
          <w:color w:val="4D4D4F"/>
        </w:rPr>
        <w:t xml:space="preserve"> </w:t>
      </w:r>
      <w:r>
        <w:rPr>
          <w:rFonts w:ascii="Arial" w:eastAsia="Arial" w:hAnsi="Arial" w:cs="Arial"/>
          <w:color w:val="4D4D4F"/>
        </w:rPr>
        <w:t>received or promised</w:t>
      </w:r>
      <w:r w:rsidRPr="00396FC6">
        <w:rPr>
          <w:rFonts w:ascii="Arial" w:eastAsia="Arial" w:hAnsi="Arial" w:cs="Arial"/>
          <w:color w:val="4D4D4F"/>
        </w:rPr>
        <w:t xml:space="preserve"> in previous years</w:t>
      </w:r>
      <w:r>
        <w:rPr>
          <w:rFonts w:ascii="Arial" w:eastAsia="Arial" w:hAnsi="Arial" w:cs="Arial"/>
          <w:color w:val="4D4D4F"/>
        </w:rPr>
        <w:t>.</w:t>
      </w:r>
    </w:p>
    <w:p w14:paraId="15A0581D" w14:textId="77777777" w:rsidR="00396FC6" w:rsidRDefault="00396FC6" w:rsidP="00396FC6">
      <w:pPr>
        <w:tabs>
          <w:tab w:val="left" w:pos="760"/>
        </w:tabs>
        <w:spacing w:after="0" w:line="240" w:lineRule="auto"/>
        <w:ind w:left="1440" w:right="-20" w:hanging="1303"/>
        <w:rPr>
          <w:rFonts w:ascii="Arial" w:eastAsia="Arial" w:hAnsi="Arial" w:cs="Arial"/>
          <w:color w:val="4D4D4F"/>
        </w:rPr>
      </w:pPr>
    </w:p>
    <w:p w14:paraId="4928F0E9" w14:textId="77777777" w:rsidR="0026652F" w:rsidRPr="003A6AAE" w:rsidRDefault="0026652F" w:rsidP="00396FC6">
      <w:pPr>
        <w:tabs>
          <w:tab w:val="left" w:pos="760"/>
        </w:tabs>
        <w:spacing w:after="0" w:line="240" w:lineRule="auto"/>
        <w:ind w:left="1440" w:right="-20" w:hanging="1303"/>
        <w:rPr>
          <w:rFonts w:ascii="Arial" w:eastAsia="Arial" w:hAnsi="Arial" w:cs="Arial"/>
          <w:color w:val="4D4D4F"/>
        </w:rPr>
      </w:pPr>
    </w:p>
    <w:p w14:paraId="43610A74" w14:textId="77777777" w:rsidR="00396FC6" w:rsidRDefault="00396FC6" w:rsidP="00396FC6">
      <w:pPr>
        <w:spacing w:after="0"/>
        <w:sectPr w:rsidR="00396FC6">
          <w:pgSz w:w="11920" w:h="16840"/>
          <w:pgMar w:top="780" w:right="1340" w:bottom="880" w:left="1280" w:header="547" w:footer="692" w:gutter="0"/>
          <w:cols w:space="720"/>
        </w:sectPr>
      </w:pPr>
    </w:p>
    <w:p w14:paraId="7CDAEDA3" w14:textId="77777777" w:rsidR="00E44A5E" w:rsidRDefault="00E44A5E" w:rsidP="00E44A5E">
      <w:pPr>
        <w:spacing w:before="7" w:after="0" w:line="140" w:lineRule="exact"/>
        <w:rPr>
          <w:sz w:val="14"/>
          <w:szCs w:val="14"/>
        </w:rPr>
      </w:pPr>
    </w:p>
    <w:p w14:paraId="75DB7CD3" w14:textId="77777777" w:rsidR="00E44A5E" w:rsidRDefault="00E44A5E" w:rsidP="00E44A5E">
      <w:pPr>
        <w:spacing w:after="0" w:line="200" w:lineRule="exact"/>
        <w:rPr>
          <w:sz w:val="20"/>
          <w:szCs w:val="20"/>
        </w:rPr>
      </w:pPr>
    </w:p>
    <w:p w14:paraId="0050992D" w14:textId="77777777" w:rsidR="00E44A5E" w:rsidRDefault="00E44A5E" w:rsidP="00E44A5E">
      <w:pPr>
        <w:spacing w:after="0" w:line="200" w:lineRule="exact"/>
        <w:rPr>
          <w:sz w:val="20"/>
          <w:szCs w:val="20"/>
        </w:rPr>
      </w:pPr>
    </w:p>
    <w:p w14:paraId="2F1103D4" w14:textId="77777777" w:rsidR="00E44A5E" w:rsidRDefault="00E44A5E" w:rsidP="00E44A5E">
      <w:pPr>
        <w:spacing w:before="24" w:after="0" w:line="240" w:lineRule="auto"/>
        <w:ind w:left="137" w:right="-20"/>
        <w:rPr>
          <w:rFonts w:ascii="Arial" w:eastAsia="Arial" w:hAnsi="Arial" w:cs="Arial"/>
          <w:sz w:val="28"/>
          <w:szCs w:val="28"/>
        </w:rPr>
      </w:pPr>
      <w:bookmarkStart w:id="6" w:name="Module9"/>
      <w:r>
        <w:rPr>
          <w:rFonts w:ascii="Arial" w:eastAsia="Arial" w:hAnsi="Arial" w:cs="Arial"/>
          <w:color w:val="98C43D"/>
          <w:spacing w:val="-1"/>
          <w:sz w:val="28"/>
          <w:szCs w:val="28"/>
        </w:rPr>
        <w:t>Disclosure of trustee and staff remuneration and related party and other transactions</w:t>
      </w:r>
      <w:r w:rsidRPr="00587CA8">
        <w:rPr>
          <w:rFonts w:ascii="Arial" w:eastAsia="Arial" w:hAnsi="Arial" w:cs="Arial"/>
          <w:color w:val="98C43D"/>
          <w:spacing w:val="-5"/>
          <w:sz w:val="28"/>
          <w:szCs w:val="28"/>
        </w:rPr>
        <w:t xml:space="preserve"> </w:t>
      </w:r>
      <w:r w:rsidRPr="00F655C1">
        <w:rPr>
          <w:rFonts w:ascii="Arial" w:eastAsia="Arial" w:hAnsi="Arial" w:cs="Arial"/>
          <w:color w:val="98C43D"/>
          <w:spacing w:val="-5"/>
          <w:sz w:val="28"/>
          <w:szCs w:val="28"/>
        </w:rPr>
        <w:t xml:space="preserve">– module </w:t>
      </w:r>
      <w:r>
        <w:rPr>
          <w:rFonts w:ascii="Arial" w:eastAsia="Arial" w:hAnsi="Arial" w:cs="Arial"/>
          <w:color w:val="98C43D"/>
          <w:spacing w:val="-5"/>
          <w:sz w:val="28"/>
          <w:szCs w:val="28"/>
        </w:rPr>
        <w:t>9</w:t>
      </w:r>
    </w:p>
    <w:bookmarkEnd w:id="6"/>
    <w:p w14:paraId="3ACCA380" w14:textId="77777777" w:rsidR="00E44A5E" w:rsidRDefault="00E44A5E" w:rsidP="00E44A5E">
      <w:pPr>
        <w:spacing w:before="14" w:after="0" w:line="240" w:lineRule="auto"/>
        <w:ind w:right="-20"/>
        <w:rPr>
          <w:sz w:val="26"/>
          <w:szCs w:val="26"/>
        </w:rPr>
      </w:pPr>
      <w:r>
        <w:rPr>
          <w:noProof/>
          <w:lang w:val="en-GB" w:eastAsia="en-GB"/>
        </w:rPr>
        <mc:AlternateContent>
          <mc:Choice Requires="wpg">
            <w:drawing>
              <wp:anchor distT="0" distB="0" distL="114300" distR="114300" simplePos="0" relativeHeight="251673600" behindDoc="1" locked="0" layoutInCell="1" allowOverlap="1" wp14:anchorId="2B8218AA" wp14:editId="38F9029B">
                <wp:simplePos x="0" y="0"/>
                <wp:positionH relativeFrom="page">
                  <wp:posOffset>887095</wp:posOffset>
                </wp:positionH>
                <wp:positionV relativeFrom="paragraph">
                  <wp:posOffset>37796</wp:posOffset>
                </wp:positionV>
                <wp:extent cx="5760085" cy="1270"/>
                <wp:effectExtent l="0" t="0" r="12065" b="17780"/>
                <wp:wrapNone/>
                <wp:docPr id="4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395"/>
                          <a:chExt cx="9071" cy="2"/>
                        </a:xfrm>
                      </wpg:grpSpPr>
                      <wps:wsp>
                        <wps:cNvPr id="45" name="Freeform 11"/>
                        <wps:cNvSpPr>
                          <a:spLocks/>
                        </wps:cNvSpPr>
                        <wps:spPr bwMode="auto">
                          <a:xfrm>
                            <a:off x="1417" y="39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B12EE" id="Group 10" o:spid="_x0000_s1026" style="position:absolute;margin-left:69.85pt;margin-top:3pt;width:453.55pt;height:.1pt;z-index:-251642880;mso-position-horizontal-relative:page" coordorigin="1417,39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">
                <v:shape id="Freeform 11" o:spid="_x0000_s1027" style="position:absolute;left:1417;top:39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l8YA&#10;AADbAAAADwAAAGRycy9kb3ducmV2LnhtbESPQWvCQBSE74X+h+UJ3urGYkqJriKtlh5UqFa0t0f2&#10;dZM2+zZkt0n8912h0OMwM98ws0VvK9FS40vHCsajBARx7nTJRsH7YX33CMIHZI2VY1JwIQ+L+e3N&#10;DDPtOn6jdh+MiBD2GSooQqgzKX1ekEU/cjVx9D5dYzFE2RipG+wi3FbyPkkepMWS40KBNT0VlH/v&#10;f6yC1Hydw8vhtOtMu6WPTTp+XrVHpYaDfjkFEagP/+G/9qtWMEnh+i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l8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p>
    <w:p w14:paraId="57A9324D" w14:textId="77777777" w:rsidR="00E44A5E" w:rsidRDefault="00E44A5E" w:rsidP="00E44A5E">
      <w:pPr>
        <w:spacing w:after="0" w:line="240" w:lineRule="auto"/>
        <w:ind w:left="137" w:right="-20"/>
        <w:rPr>
          <w:rFonts w:ascii="Arial" w:eastAsia="Arial" w:hAnsi="Arial" w:cs="Arial"/>
          <w:sz w:val="24"/>
          <w:szCs w:val="24"/>
        </w:rPr>
      </w:pPr>
      <w:r>
        <w:rPr>
          <w:rFonts w:ascii="Arial" w:eastAsia="Arial" w:hAnsi="Arial" w:cs="Arial"/>
          <w:b/>
          <w:bCs/>
          <w:color w:val="4D4D4F"/>
          <w:spacing w:val="-3"/>
          <w:sz w:val="24"/>
          <w:szCs w:val="24"/>
        </w:rPr>
        <w:t xml:space="preserve">Topic: </w:t>
      </w:r>
      <w:r>
        <w:rPr>
          <w:rFonts w:ascii="Arial" w:eastAsia="Arial" w:hAnsi="Arial" w:cs="Arial"/>
          <w:b/>
          <w:bCs/>
          <w:i/>
          <w:color w:val="4D4D4F"/>
          <w:spacing w:val="-3"/>
          <w:sz w:val="24"/>
          <w:szCs w:val="24"/>
        </w:rPr>
        <w:t>Exemptions from disclosure of the names of related parties</w:t>
      </w:r>
    </w:p>
    <w:p w14:paraId="10FB94C9" w14:textId="77777777" w:rsidR="00E44A5E" w:rsidRDefault="00E44A5E" w:rsidP="00E44A5E">
      <w:pPr>
        <w:spacing w:before="6" w:after="0" w:line="150" w:lineRule="exact"/>
        <w:rPr>
          <w:sz w:val="15"/>
          <w:szCs w:val="15"/>
        </w:rPr>
      </w:pPr>
    </w:p>
    <w:p w14:paraId="1E878A36" w14:textId="547B0E33" w:rsidR="00E44A5E" w:rsidRDefault="00E44A5E" w:rsidP="00E44A5E">
      <w:pPr>
        <w:tabs>
          <w:tab w:val="left" w:pos="760"/>
        </w:tabs>
        <w:spacing w:after="0" w:line="240" w:lineRule="auto"/>
        <w:ind w:left="137" w:right="-20"/>
        <w:rPr>
          <w:rFonts w:ascii="Arial" w:eastAsia="Arial" w:hAnsi="Arial" w:cs="Arial"/>
        </w:rPr>
      </w:pPr>
      <w:r w:rsidRPr="00E44A5E">
        <w:rPr>
          <w:rFonts w:ascii="Arial" w:eastAsia="Arial" w:hAnsi="Arial" w:cs="Arial"/>
          <w:color w:val="4D4D4F"/>
        </w:rPr>
        <w:t>Where the trustees, chief executive officer or senior staff members have elected to withhold their names due to personal danger</w:t>
      </w:r>
      <w:r w:rsidR="00571880">
        <w:rPr>
          <w:rFonts w:ascii="Arial" w:eastAsia="Arial" w:hAnsi="Arial" w:cs="Arial"/>
          <w:color w:val="4D4D4F"/>
        </w:rPr>
        <w:t>,</w:t>
      </w:r>
      <w:r w:rsidRPr="00E44A5E">
        <w:rPr>
          <w:rFonts w:ascii="Arial" w:eastAsia="Arial" w:hAnsi="Arial" w:cs="Arial"/>
          <w:color w:val="4D4D4F"/>
        </w:rPr>
        <w:t xml:space="preserve"> and have made the disclosures required by paragraph 1.29</w:t>
      </w:r>
      <w:r w:rsidR="003B31DB">
        <w:rPr>
          <w:rFonts w:ascii="Arial" w:eastAsia="Arial" w:hAnsi="Arial" w:cs="Arial"/>
          <w:color w:val="4D4D4F"/>
        </w:rPr>
        <w:t xml:space="preserve"> of the SORP</w:t>
      </w:r>
      <w:r w:rsidR="00571880">
        <w:rPr>
          <w:rFonts w:ascii="Arial" w:eastAsia="Arial" w:hAnsi="Arial" w:cs="Arial"/>
          <w:color w:val="4D4D4F"/>
        </w:rPr>
        <w:t>,</w:t>
      </w:r>
      <w:r w:rsidRPr="00E44A5E">
        <w:rPr>
          <w:rFonts w:ascii="Arial" w:eastAsia="Arial" w:hAnsi="Arial" w:cs="Arial"/>
          <w:color w:val="4D4D4F"/>
        </w:rPr>
        <w:t xml:space="preserve"> then the disclosure of related party transactions involving that individual or those individuals may be modified to disclose their role, e.g. chair, treasurer, or an alternative identifier in place of their full name as required by paragraphs 9.7 and 9.20</w:t>
      </w:r>
      <w:r w:rsidR="003B31DB">
        <w:rPr>
          <w:rFonts w:ascii="Arial" w:eastAsia="Arial" w:hAnsi="Arial" w:cs="Arial"/>
          <w:color w:val="4D4D4F"/>
        </w:rPr>
        <w:t xml:space="preserve"> of the SORP</w:t>
      </w:r>
      <w:r w:rsidRPr="00E44A5E">
        <w:rPr>
          <w:rFonts w:ascii="Arial" w:eastAsia="Arial" w:hAnsi="Arial" w:cs="Arial"/>
          <w:color w:val="4D4D4F"/>
        </w:rPr>
        <w:t>.</w:t>
      </w:r>
    </w:p>
    <w:p w14:paraId="50CDED04" w14:textId="77777777" w:rsidR="00E44A5E" w:rsidRDefault="00E44A5E" w:rsidP="00E44A5E">
      <w:pPr>
        <w:spacing w:before="5" w:after="0" w:line="110" w:lineRule="exact"/>
        <w:rPr>
          <w:sz w:val="11"/>
          <w:szCs w:val="11"/>
        </w:rPr>
      </w:pPr>
    </w:p>
    <w:p w14:paraId="070AA386" w14:textId="77777777" w:rsidR="00E44A5E" w:rsidRDefault="00E44A5E" w:rsidP="00E44A5E">
      <w:pPr>
        <w:tabs>
          <w:tab w:val="left" w:pos="760"/>
        </w:tabs>
        <w:spacing w:after="0" w:line="240" w:lineRule="auto"/>
        <w:ind w:left="137" w:right="-20"/>
        <w:rPr>
          <w:rFonts w:ascii="Arial" w:eastAsia="Arial" w:hAnsi="Arial" w:cs="Arial"/>
          <w:color w:val="4D4D4F"/>
        </w:rPr>
      </w:pPr>
      <w:r w:rsidRPr="00E44A5E">
        <w:rPr>
          <w:rFonts w:ascii="Arial" w:eastAsia="Arial" w:hAnsi="Arial" w:cs="Arial"/>
          <w:color w:val="4D4D4F"/>
        </w:rPr>
        <w:t>The disclosure of the name(s) of the transacting related party, as required by paragraph 9.20, may also be withheld where doing so could lead to the trustees or the party themselves being placed in personal danger. The reason for the omissions of the name of the party should be disclosed, in line with the paragraph 1.29.</w:t>
      </w:r>
    </w:p>
    <w:p w14:paraId="3E3002D4" w14:textId="77777777" w:rsidR="004007C5" w:rsidRDefault="004007C5" w:rsidP="00E44A5E">
      <w:pPr>
        <w:tabs>
          <w:tab w:val="left" w:pos="760"/>
        </w:tabs>
        <w:spacing w:after="0" w:line="240" w:lineRule="auto"/>
        <w:ind w:left="137" w:right="-20"/>
        <w:rPr>
          <w:rFonts w:ascii="Arial" w:eastAsia="Arial" w:hAnsi="Arial" w:cs="Arial"/>
          <w:color w:val="4D4D4F"/>
        </w:rPr>
      </w:pPr>
    </w:p>
    <w:p w14:paraId="52E94CDE" w14:textId="77777777" w:rsidR="004007C5" w:rsidRDefault="004007C5" w:rsidP="004007C5">
      <w:pPr>
        <w:spacing w:before="14" w:after="0" w:line="240" w:lineRule="auto"/>
        <w:ind w:right="-20"/>
        <w:rPr>
          <w:sz w:val="26"/>
          <w:szCs w:val="26"/>
        </w:rPr>
      </w:pPr>
    </w:p>
    <w:p w14:paraId="5B36AFEC" w14:textId="77777777" w:rsidR="004007C5" w:rsidRDefault="004007C5" w:rsidP="004007C5">
      <w:pPr>
        <w:spacing w:after="0" w:line="240" w:lineRule="auto"/>
        <w:ind w:left="137" w:right="-20"/>
        <w:rPr>
          <w:rFonts w:ascii="Arial" w:eastAsia="Arial" w:hAnsi="Arial" w:cs="Arial"/>
          <w:sz w:val="24"/>
          <w:szCs w:val="24"/>
        </w:rPr>
      </w:pPr>
      <w:r>
        <w:rPr>
          <w:rFonts w:ascii="Arial" w:eastAsia="Arial" w:hAnsi="Arial" w:cs="Arial"/>
          <w:b/>
          <w:bCs/>
          <w:color w:val="4D4D4F"/>
          <w:spacing w:val="-3"/>
          <w:sz w:val="24"/>
          <w:szCs w:val="24"/>
        </w:rPr>
        <w:t xml:space="preserve">Topic: </w:t>
      </w:r>
      <w:r w:rsidRPr="004007C5">
        <w:rPr>
          <w:rFonts w:ascii="Arial" w:eastAsia="Arial" w:hAnsi="Arial" w:cs="Arial"/>
          <w:b/>
          <w:bCs/>
          <w:i/>
          <w:color w:val="4D4D4F"/>
          <w:spacing w:val="-3"/>
          <w:sz w:val="24"/>
          <w:szCs w:val="24"/>
        </w:rPr>
        <w:t>Aggregate disclosure of the total amount of donations received without conditions</w:t>
      </w:r>
    </w:p>
    <w:p w14:paraId="5C07D151" w14:textId="77777777" w:rsidR="004007C5" w:rsidRDefault="004007C5" w:rsidP="004007C5">
      <w:pPr>
        <w:spacing w:before="6" w:after="0" w:line="150" w:lineRule="exact"/>
        <w:rPr>
          <w:sz w:val="15"/>
          <w:szCs w:val="15"/>
        </w:rPr>
      </w:pPr>
    </w:p>
    <w:p w14:paraId="32F5EF70" w14:textId="0FDC9498" w:rsidR="004007C5" w:rsidRDefault="004007C5" w:rsidP="004007C5">
      <w:pPr>
        <w:tabs>
          <w:tab w:val="left" w:pos="760"/>
        </w:tabs>
        <w:spacing w:after="0" w:line="240" w:lineRule="auto"/>
        <w:ind w:left="137" w:right="-20"/>
        <w:rPr>
          <w:rFonts w:ascii="Arial" w:eastAsia="Arial" w:hAnsi="Arial" w:cs="Arial"/>
        </w:rPr>
      </w:pPr>
      <w:r w:rsidRPr="004007C5">
        <w:rPr>
          <w:rFonts w:ascii="Arial" w:eastAsia="Arial" w:hAnsi="Arial" w:cs="Arial"/>
          <w:color w:val="4D4D4F"/>
        </w:rPr>
        <w:t xml:space="preserve">Paragraph 9.18 </w:t>
      </w:r>
      <w:r w:rsidR="003B31DB">
        <w:rPr>
          <w:rFonts w:ascii="Arial" w:eastAsia="Arial" w:hAnsi="Arial" w:cs="Arial"/>
          <w:color w:val="4D4D4F"/>
        </w:rPr>
        <w:t xml:space="preserve">of the SORP </w:t>
      </w:r>
      <w:r w:rsidRPr="004007C5">
        <w:rPr>
          <w:rFonts w:ascii="Arial" w:eastAsia="Arial" w:hAnsi="Arial" w:cs="Arial"/>
          <w:color w:val="4D4D4F"/>
        </w:rPr>
        <w:t>requires all charities to ‘</w:t>
      </w:r>
      <w:r w:rsidRPr="000A6E3E">
        <w:rPr>
          <w:rFonts w:ascii="Arial" w:eastAsia="Arial" w:hAnsi="Arial" w:cs="Arial"/>
          <w:i/>
          <w:color w:val="4D4D4F"/>
        </w:rPr>
        <w:t>provide an aggregate disclosure of the total amount of donations received without conditions</w:t>
      </w:r>
      <w:r w:rsidRPr="004007C5">
        <w:rPr>
          <w:rFonts w:ascii="Arial" w:eastAsia="Arial" w:hAnsi="Arial" w:cs="Arial"/>
          <w:color w:val="4D4D4F"/>
        </w:rPr>
        <w:t>’. This should be interpreted in the context of those transactions with trustees or other related parties only.</w:t>
      </w:r>
      <w:r w:rsidR="00310844">
        <w:rPr>
          <w:rFonts w:ascii="Arial" w:eastAsia="Arial" w:hAnsi="Arial" w:cs="Arial"/>
          <w:color w:val="4D4D4F"/>
        </w:rPr>
        <w:t xml:space="preserve"> Disclosure is only necessary if the total amount of donations received without conditions is judged to be material in the context of the total income from donations and legacies.</w:t>
      </w:r>
    </w:p>
    <w:p w14:paraId="1FEF5B74" w14:textId="77777777" w:rsidR="004007C5" w:rsidRDefault="004007C5" w:rsidP="004007C5">
      <w:pPr>
        <w:spacing w:before="5" w:after="0" w:line="110" w:lineRule="exact"/>
        <w:rPr>
          <w:sz w:val="11"/>
          <w:szCs w:val="11"/>
        </w:rPr>
      </w:pPr>
    </w:p>
    <w:p w14:paraId="3C943AB9" w14:textId="77777777" w:rsidR="004007C5" w:rsidRDefault="004007C5" w:rsidP="004007C5">
      <w:pPr>
        <w:tabs>
          <w:tab w:val="left" w:pos="760"/>
        </w:tabs>
        <w:spacing w:after="0" w:line="240" w:lineRule="auto"/>
        <w:ind w:left="137" w:right="-20"/>
        <w:rPr>
          <w:rFonts w:ascii="Arial" w:eastAsia="Arial" w:hAnsi="Arial" w:cs="Arial"/>
        </w:rPr>
      </w:pPr>
      <w:r w:rsidRPr="004007C5">
        <w:rPr>
          <w:rFonts w:ascii="Arial" w:eastAsia="Arial" w:hAnsi="Arial" w:cs="Arial"/>
          <w:color w:val="4D4D4F"/>
        </w:rPr>
        <w:t>Donations which have attached conditions should be disclosed as noted in paragraph 9.20.</w:t>
      </w:r>
    </w:p>
    <w:p w14:paraId="1D9D8CEC" w14:textId="77777777" w:rsidR="00AC0E05" w:rsidRDefault="00AC0E05" w:rsidP="00AC0E05">
      <w:pPr>
        <w:tabs>
          <w:tab w:val="left" w:pos="760"/>
        </w:tabs>
        <w:spacing w:after="0" w:line="240" w:lineRule="auto"/>
        <w:ind w:left="137" w:right="-20"/>
        <w:rPr>
          <w:rFonts w:ascii="Arial" w:eastAsia="Arial" w:hAnsi="Arial" w:cs="Arial"/>
          <w:color w:val="4D4D4F"/>
        </w:rPr>
      </w:pPr>
    </w:p>
    <w:p w14:paraId="4033F8AD" w14:textId="77777777" w:rsidR="00AC0E05" w:rsidRDefault="00AC0E05" w:rsidP="00AC0E05">
      <w:pPr>
        <w:spacing w:before="14" w:after="0" w:line="240" w:lineRule="auto"/>
        <w:ind w:right="-20"/>
        <w:rPr>
          <w:sz w:val="26"/>
          <w:szCs w:val="26"/>
        </w:rPr>
      </w:pPr>
    </w:p>
    <w:p w14:paraId="24D7CE81" w14:textId="77777777" w:rsidR="00AC0E05" w:rsidRDefault="00AC0E05" w:rsidP="00AC0E05">
      <w:pPr>
        <w:spacing w:after="0" w:line="240" w:lineRule="auto"/>
        <w:ind w:left="137" w:right="-20"/>
        <w:rPr>
          <w:rFonts w:ascii="Arial" w:eastAsia="Arial" w:hAnsi="Arial" w:cs="Arial"/>
          <w:sz w:val="24"/>
          <w:szCs w:val="24"/>
        </w:rPr>
      </w:pPr>
      <w:r>
        <w:rPr>
          <w:rFonts w:ascii="Arial" w:eastAsia="Arial" w:hAnsi="Arial" w:cs="Arial"/>
          <w:b/>
          <w:bCs/>
          <w:color w:val="4D4D4F"/>
          <w:spacing w:val="-3"/>
          <w:sz w:val="24"/>
          <w:szCs w:val="24"/>
        </w:rPr>
        <w:t xml:space="preserve">Topic: </w:t>
      </w:r>
      <w:r w:rsidRPr="00AC0E05">
        <w:rPr>
          <w:rFonts w:ascii="Arial" w:eastAsia="Arial" w:hAnsi="Arial" w:cs="Arial"/>
          <w:b/>
          <w:bCs/>
          <w:i/>
          <w:color w:val="4D4D4F"/>
          <w:spacing w:val="-3"/>
          <w:sz w:val="24"/>
          <w:szCs w:val="24"/>
        </w:rPr>
        <w:t>Inclusion of Employers National Insurance Contributions (NIC) as part of employee benefits</w:t>
      </w:r>
    </w:p>
    <w:p w14:paraId="0619F38C" w14:textId="77777777" w:rsidR="00AC0E05" w:rsidRDefault="00AC0E05" w:rsidP="00AC0E05">
      <w:pPr>
        <w:spacing w:before="6" w:after="0" w:line="150" w:lineRule="exact"/>
        <w:rPr>
          <w:sz w:val="15"/>
          <w:szCs w:val="15"/>
        </w:rPr>
      </w:pPr>
    </w:p>
    <w:p w14:paraId="2CA0FCAE" w14:textId="5FE27C9A" w:rsidR="00AC0E05" w:rsidRDefault="00AC0E05" w:rsidP="00AC0E05">
      <w:pPr>
        <w:tabs>
          <w:tab w:val="left" w:pos="760"/>
        </w:tabs>
        <w:spacing w:after="0" w:line="240" w:lineRule="auto"/>
        <w:ind w:left="137" w:right="-20"/>
        <w:rPr>
          <w:rFonts w:ascii="Arial" w:eastAsia="Arial" w:hAnsi="Arial" w:cs="Arial"/>
        </w:rPr>
      </w:pPr>
      <w:r w:rsidRPr="00AC0E05">
        <w:rPr>
          <w:rFonts w:ascii="Arial" w:eastAsia="Arial" w:hAnsi="Arial" w:cs="Arial"/>
          <w:color w:val="4D4D4F"/>
        </w:rPr>
        <w:t>When calculating employee benefits for the disclosure of remuneration and benefits received by key management personnel, per paragraph 9.32</w:t>
      </w:r>
      <w:r w:rsidR="00525F46">
        <w:rPr>
          <w:rFonts w:ascii="Arial" w:eastAsia="Arial" w:hAnsi="Arial" w:cs="Arial"/>
          <w:color w:val="4D4D4F"/>
        </w:rPr>
        <w:t xml:space="preserve"> of the</w:t>
      </w:r>
      <w:r w:rsidR="003B31DB">
        <w:rPr>
          <w:rFonts w:ascii="Arial" w:eastAsia="Arial" w:hAnsi="Arial" w:cs="Arial"/>
          <w:color w:val="4D4D4F"/>
        </w:rPr>
        <w:t xml:space="preserve"> SORP</w:t>
      </w:r>
      <w:r w:rsidRPr="00AC0E05">
        <w:rPr>
          <w:rFonts w:ascii="Arial" w:eastAsia="Arial" w:hAnsi="Arial" w:cs="Arial"/>
          <w:color w:val="4D4D4F"/>
        </w:rPr>
        <w:t xml:space="preserve">, </w:t>
      </w:r>
      <w:r w:rsidR="007E2265">
        <w:rPr>
          <w:rFonts w:ascii="Arial" w:eastAsia="Arial" w:hAnsi="Arial" w:cs="Arial"/>
          <w:color w:val="4D4D4F"/>
        </w:rPr>
        <w:t xml:space="preserve">the definition of employee benefits should be in accordance with paragraph 28.1 of FRS 102. As a result, </w:t>
      </w:r>
      <w:r w:rsidRPr="00AC0E05">
        <w:rPr>
          <w:rFonts w:ascii="Arial" w:eastAsia="Arial" w:hAnsi="Arial" w:cs="Arial"/>
          <w:color w:val="4D4D4F"/>
        </w:rPr>
        <w:t>Employers National Insurance Contributions (NIC) should be included</w:t>
      </w:r>
      <w:r w:rsidR="007E2265">
        <w:rPr>
          <w:rFonts w:ascii="Arial" w:eastAsia="Arial" w:hAnsi="Arial" w:cs="Arial"/>
          <w:color w:val="4D4D4F"/>
        </w:rPr>
        <w:t>, in accordance with paragraph 28.4(a) of FRS 102</w:t>
      </w:r>
      <w:r w:rsidRPr="00AC0E05">
        <w:rPr>
          <w:rFonts w:ascii="Arial" w:eastAsia="Arial" w:hAnsi="Arial" w:cs="Arial"/>
          <w:color w:val="4D4D4F"/>
        </w:rPr>
        <w:t>.</w:t>
      </w:r>
    </w:p>
    <w:p w14:paraId="370A693E" w14:textId="77777777" w:rsidR="00AC0E05" w:rsidRDefault="00AC0E05" w:rsidP="00AC0E05">
      <w:pPr>
        <w:spacing w:before="5" w:after="0" w:line="110" w:lineRule="exact"/>
        <w:rPr>
          <w:sz w:val="11"/>
          <w:szCs w:val="11"/>
        </w:rPr>
      </w:pPr>
    </w:p>
    <w:p w14:paraId="257434AF" w14:textId="1A8815C9" w:rsidR="00AC0E05" w:rsidRDefault="007E2265" w:rsidP="00AC0E05">
      <w:pPr>
        <w:tabs>
          <w:tab w:val="left" w:pos="760"/>
        </w:tabs>
        <w:spacing w:after="0" w:line="240" w:lineRule="auto"/>
        <w:ind w:left="137" w:right="-20"/>
        <w:rPr>
          <w:rFonts w:ascii="Arial" w:eastAsia="Arial" w:hAnsi="Arial" w:cs="Arial"/>
        </w:rPr>
      </w:pPr>
      <w:r>
        <w:rPr>
          <w:rFonts w:ascii="Arial" w:eastAsia="Arial" w:hAnsi="Arial" w:cs="Arial"/>
          <w:color w:val="4D4D4F"/>
        </w:rPr>
        <w:t>However, w</w:t>
      </w:r>
      <w:r w:rsidR="00AC0E05" w:rsidRPr="00AC0E05">
        <w:rPr>
          <w:rFonts w:ascii="Arial" w:eastAsia="Arial" w:hAnsi="Arial" w:cs="Arial"/>
          <w:color w:val="4D4D4F"/>
        </w:rPr>
        <w:t>hen identifying numbers of employees to disclose who received employee benefits of more than £60,000 (or 70,000 euros if in the Republic of Ireland), per paragraph 9.30, Employers NIC should be excluded.</w:t>
      </w:r>
    </w:p>
    <w:p w14:paraId="7615EA26" w14:textId="77777777" w:rsidR="00AC0E05" w:rsidRDefault="00AC0E05" w:rsidP="00AC0E05">
      <w:pPr>
        <w:spacing w:after="0" w:line="160" w:lineRule="exact"/>
        <w:rPr>
          <w:sz w:val="16"/>
          <w:szCs w:val="16"/>
        </w:rPr>
      </w:pPr>
    </w:p>
    <w:p w14:paraId="41C4A612" w14:textId="77777777" w:rsidR="00AC0E05" w:rsidRDefault="00AC0E05" w:rsidP="00AC0E05">
      <w:pPr>
        <w:spacing w:after="0" w:line="160" w:lineRule="exact"/>
        <w:rPr>
          <w:sz w:val="16"/>
          <w:szCs w:val="16"/>
        </w:rPr>
      </w:pPr>
    </w:p>
    <w:p w14:paraId="3023DA87" w14:textId="77777777" w:rsidR="00AC0E05" w:rsidRPr="003A6AAE" w:rsidRDefault="00AC0E05" w:rsidP="00AC0E05">
      <w:pPr>
        <w:tabs>
          <w:tab w:val="left" w:pos="760"/>
        </w:tabs>
        <w:spacing w:after="0" w:line="240" w:lineRule="auto"/>
        <w:ind w:left="1440" w:right="-20" w:hanging="1303"/>
        <w:rPr>
          <w:rFonts w:ascii="Arial" w:eastAsia="Arial" w:hAnsi="Arial" w:cs="Arial"/>
          <w:color w:val="4D4D4F"/>
        </w:rPr>
      </w:pPr>
    </w:p>
    <w:p w14:paraId="6A834CA6" w14:textId="77777777" w:rsidR="00AC0E05" w:rsidRDefault="00AC0E05" w:rsidP="00AC0E05">
      <w:pPr>
        <w:spacing w:after="0"/>
        <w:sectPr w:rsidR="00AC0E05">
          <w:pgSz w:w="11920" w:h="16840"/>
          <w:pgMar w:top="780" w:right="1340" w:bottom="880" w:left="1280" w:header="547" w:footer="692" w:gutter="0"/>
          <w:cols w:space="720"/>
        </w:sectPr>
      </w:pPr>
    </w:p>
    <w:p w14:paraId="4A2073D1" w14:textId="77777777" w:rsidR="00C911C6" w:rsidRDefault="00C911C6" w:rsidP="00C911C6">
      <w:pPr>
        <w:spacing w:before="7" w:after="0" w:line="140" w:lineRule="exact"/>
        <w:rPr>
          <w:sz w:val="14"/>
          <w:szCs w:val="14"/>
        </w:rPr>
      </w:pPr>
    </w:p>
    <w:p w14:paraId="5A07E7E6" w14:textId="77777777" w:rsidR="00C911C6" w:rsidRDefault="00C911C6" w:rsidP="00C911C6">
      <w:pPr>
        <w:spacing w:after="0" w:line="200" w:lineRule="exact"/>
        <w:rPr>
          <w:sz w:val="20"/>
          <w:szCs w:val="20"/>
        </w:rPr>
      </w:pPr>
    </w:p>
    <w:p w14:paraId="7C584DA0" w14:textId="77777777" w:rsidR="00C911C6" w:rsidRDefault="00C911C6" w:rsidP="00C911C6">
      <w:pPr>
        <w:spacing w:after="0" w:line="200" w:lineRule="exact"/>
        <w:rPr>
          <w:sz w:val="20"/>
          <w:szCs w:val="20"/>
        </w:rPr>
      </w:pPr>
    </w:p>
    <w:p w14:paraId="62A6E29E" w14:textId="77777777" w:rsidR="00C911C6" w:rsidRDefault="00C911C6" w:rsidP="00C911C6">
      <w:pPr>
        <w:spacing w:before="24" w:after="0" w:line="240" w:lineRule="auto"/>
        <w:ind w:left="137" w:right="-20"/>
        <w:rPr>
          <w:rFonts w:ascii="Arial" w:eastAsia="Arial" w:hAnsi="Arial" w:cs="Arial"/>
          <w:sz w:val="28"/>
          <w:szCs w:val="28"/>
        </w:rPr>
      </w:pPr>
      <w:bookmarkStart w:id="7" w:name="Module12"/>
      <w:r w:rsidRPr="00C911C6">
        <w:rPr>
          <w:rFonts w:ascii="Arial" w:eastAsia="Arial" w:hAnsi="Arial" w:cs="Arial"/>
          <w:color w:val="98C43D"/>
          <w:spacing w:val="-1"/>
          <w:sz w:val="28"/>
          <w:szCs w:val="28"/>
        </w:rPr>
        <w:t xml:space="preserve">Accounting for impairment </w:t>
      </w:r>
      <w:r w:rsidRPr="00F655C1">
        <w:rPr>
          <w:rFonts w:ascii="Arial" w:eastAsia="Arial" w:hAnsi="Arial" w:cs="Arial"/>
          <w:color w:val="98C43D"/>
          <w:spacing w:val="-5"/>
          <w:sz w:val="28"/>
          <w:szCs w:val="28"/>
        </w:rPr>
        <w:t xml:space="preserve">– module </w:t>
      </w:r>
      <w:r>
        <w:rPr>
          <w:rFonts w:ascii="Arial" w:eastAsia="Arial" w:hAnsi="Arial" w:cs="Arial"/>
          <w:color w:val="98C43D"/>
          <w:spacing w:val="-5"/>
          <w:sz w:val="28"/>
          <w:szCs w:val="28"/>
        </w:rPr>
        <w:t>12</w:t>
      </w:r>
    </w:p>
    <w:bookmarkEnd w:id="7"/>
    <w:p w14:paraId="3750AC07" w14:textId="77777777" w:rsidR="00C911C6" w:rsidRDefault="00C911C6" w:rsidP="00C911C6">
      <w:pPr>
        <w:spacing w:before="14" w:after="0" w:line="240" w:lineRule="auto"/>
        <w:ind w:right="-20"/>
        <w:rPr>
          <w:sz w:val="26"/>
          <w:szCs w:val="26"/>
        </w:rPr>
      </w:pPr>
      <w:r>
        <w:rPr>
          <w:noProof/>
          <w:lang w:val="en-GB" w:eastAsia="en-GB"/>
        </w:rPr>
        <mc:AlternateContent>
          <mc:Choice Requires="wpg">
            <w:drawing>
              <wp:anchor distT="0" distB="0" distL="114300" distR="114300" simplePos="0" relativeHeight="251675648" behindDoc="1" locked="0" layoutInCell="1" allowOverlap="1" wp14:anchorId="43E5CDC6" wp14:editId="6213FA1F">
                <wp:simplePos x="0" y="0"/>
                <wp:positionH relativeFrom="page">
                  <wp:posOffset>887095</wp:posOffset>
                </wp:positionH>
                <wp:positionV relativeFrom="paragraph">
                  <wp:posOffset>37796</wp:posOffset>
                </wp:positionV>
                <wp:extent cx="5760085" cy="1270"/>
                <wp:effectExtent l="0" t="0" r="12065" b="17780"/>
                <wp:wrapNone/>
                <wp:docPr id="4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395"/>
                          <a:chExt cx="9071" cy="2"/>
                        </a:xfrm>
                      </wpg:grpSpPr>
                      <wps:wsp>
                        <wps:cNvPr id="47" name="Freeform 11"/>
                        <wps:cNvSpPr>
                          <a:spLocks/>
                        </wps:cNvSpPr>
                        <wps:spPr bwMode="auto">
                          <a:xfrm>
                            <a:off x="1417" y="39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D3054" id="Group 10" o:spid="_x0000_s1026" style="position:absolute;margin-left:69.85pt;margin-top:3pt;width:453.55pt;height:.1pt;z-index:-251640832;mso-position-horizontal-relative:page" coordorigin="1417,39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">
                <v:shape id="Freeform 11" o:spid="_x0000_s1027" style="position:absolute;left:1417;top:39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Ee8cA&#10;AADbAAAADwAAAGRycy9kb3ducmV2LnhtbESPW2vCQBSE34X+h+UU+qYbS20lukrpRfpgC95Q3w7Z&#10;0000ezZkt0n6712h0MdhZr5hpvPOlqKh2heOFQwHCQjizOmCjYLt5r0/BuEDssbSMSn4JQ/z2U1v&#10;iql2La+oWQcjIoR9igryEKpUSp/lZNEPXEUcvW9XWwxR1kbqGtsIt6W8T5JHabHguJBjRS85Zef1&#10;j1UwMqdDWGz2X61pPum4HA1f35qdUne33fMERKAu/If/2h9awcMTXL/EH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ZxHvHAAAA2wAAAA8AAAAAAAAAAAAAAAAAmAIAAGRy&#10;cy9kb3ducmV2LnhtbFBLBQYAAAAABAAEAPUAAACMAwAAAAA=&#10;" path="m,l9071,e" filled="f" strokecolor="#98c43d" strokeweight=".5pt">
                  <v:path arrowok="t" o:connecttype="custom" o:connectlocs="0,0;9071,0" o:connectangles="0,0"/>
                </v:shape>
                <w10:wrap anchorx="page"/>
              </v:group>
            </w:pict>
          </mc:Fallback>
        </mc:AlternateContent>
      </w:r>
    </w:p>
    <w:p w14:paraId="2CE46036" w14:textId="77777777" w:rsidR="00C911C6" w:rsidRDefault="00C911C6" w:rsidP="00C911C6">
      <w:pPr>
        <w:spacing w:after="0" w:line="240" w:lineRule="auto"/>
        <w:ind w:left="137" w:right="-20"/>
        <w:rPr>
          <w:rFonts w:ascii="Arial" w:eastAsia="Arial" w:hAnsi="Arial" w:cs="Arial"/>
          <w:sz w:val="24"/>
          <w:szCs w:val="24"/>
        </w:rPr>
      </w:pPr>
      <w:r>
        <w:rPr>
          <w:rFonts w:ascii="Arial" w:eastAsia="Arial" w:hAnsi="Arial" w:cs="Arial"/>
          <w:b/>
          <w:bCs/>
          <w:color w:val="4D4D4F"/>
          <w:spacing w:val="-3"/>
          <w:sz w:val="24"/>
          <w:szCs w:val="24"/>
        </w:rPr>
        <w:t xml:space="preserve">Topic: </w:t>
      </w:r>
      <w:r w:rsidRPr="00C911C6">
        <w:rPr>
          <w:rFonts w:ascii="Arial" w:eastAsia="Arial" w:hAnsi="Arial" w:cs="Arial"/>
          <w:b/>
          <w:bCs/>
          <w:i/>
          <w:color w:val="4D4D4F"/>
          <w:spacing w:val="-3"/>
          <w:sz w:val="24"/>
          <w:szCs w:val="24"/>
        </w:rPr>
        <w:t>Treatment of loss on disposal of a tangible fixed asset</w:t>
      </w:r>
    </w:p>
    <w:p w14:paraId="504BBF06" w14:textId="77777777" w:rsidR="00C911C6" w:rsidRDefault="00C911C6" w:rsidP="00C911C6">
      <w:pPr>
        <w:spacing w:before="6" w:after="0" w:line="150" w:lineRule="exact"/>
        <w:rPr>
          <w:sz w:val="15"/>
          <w:szCs w:val="15"/>
        </w:rPr>
      </w:pPr>
    </w:p>
    <w:p w14:paraId="04EC26FE" w14:textId="77777777" w:rsidR="00C911C6" w:rsidRDefault="00C911C6" w:rsidP="00C911C6">
      <w:pPr>
        <w:tabs>
          <w:tab w:val="left" w:pos="760"/>
        </w:tabs>
        <w:spacing w:after="0" w:line="240" w:lineRule="auto"/>
        <w:ind w:left="137" w:right="-20"/>
        <w:rPr>
          <w:rFonts w:ascii="Arial" w:eastAsia="Arial" w:hAnsi="Arial" w:cs="Arial"/>
        </w:rPr>
      </w:pPr>
      <w:r w:rsidRPr="00C911C6">
        <w:rPr>
          <w:rFonts w:ascii="Arial" w:eastAsia="Arial" w:hAnsi="Arial" w:cs="Arial"/>
          <w:color w:val="4D4D4F"/>
        </w:rPr>
        <w:t>Losses on disposal of a tangible fixed asset should be treated as additional depreciation. Therefore, any realised loss on disposal of a tangible fixed asset is treated as expenditure in the Statement of Financial Activities. Losses should be allocated between cost categories in accordance with the same principles as depreciation, amortisation and impairments, and against the activity or activities that made use of that tangible fixed asset in the current and previous reporting periods leading up to its disposal.</w:t>
      </w:r>
    </w:p>
    <w:p w14:paraId="72A0A1A2" w14:textId="77777777" w:rsidR="00C911C6" w:rsidRDefault="00C911C6" w:rsidP="00C911C6">
      <w:pPr>
        <w:spacing w:after="0" w:line="160" w:lineRule="exact"/>
        <w:rPr>
          <w:sz w:val="16"/>
          <w:szCs w:val="16"/>
        </w:rPr>
      </w:pPr>
    </w:p>
    <w:p w14:paraId="1765A902" w14:textId="77777777" w:rsidR="00C911C6" w:rsidRDefault="00C911C6" w:rsidP="00C911C6">
      <w:pPr>
        <w:spacing w:after="0" w:line="160" w:lineRule="exact"/>
        <w:rPr>
          <w:sz w:val="16"/>
          <w:szCs w:val="16"/>
        </w:rPr>
      </w:pPr>
    </w:p>
    <w:p w14:paraId="32116D98" w14:textId="77777777" w:rsidR="00C911C6" w:rsidRPr="003A6AAE" w:rsidRDefault="00C911C6" w:rsidP="00C911C6">
      <w:pPr>
        <w:tabs>
          <w:tab w:val="left" w:pos="760"/>
        </w:tabs>
        <w:spacing w:after="0" w:line="240" w:lineRule="auto"/>
        <w:ind w:left="1440" w:right="-20" w:hanging="1303"/>
        <w:rPr>
          <w:rFonts w:ascii="Arial" w:eastAsia="Arial" w:hAnsi="Arial" w:cs="Arial"/>
          <w:color w:val="4D4D4F"/>
        </w:rPr>
      </w:pPr>
    </w:p>
    <w:p w14:paraId="61A63F14" w14:textId="77777777" w:rsidR="00C911C6" w:rsidRDefault="00C911C6" w:rsidP="00C911C6">
      <w:pPr>
        <w:spacing w:after="0"/>
        <w:sectPr w:rsidR="00C911C6">
          <w:pgSz w:w="11920" w:h="16840"/>
          <w:pgMar w:top="780" w:right="1340" w:bottom="880" w:left="1280" w:header="547" w:footer="692" w:gutter="0"/>
          <w:cols w:space="720"/>
        </w:sectPr>
      </w:pPr>
    </w:p>
    <w:p w14:paraId="41CEBA75" w14:textId="77777777" w:rsidR="00C911C6" w:rsidRDefault="00C911C6" w:rsidP="00C911C6">
      <w:pPr>
        <w:spacing w:before="7" w:after="0" w:line="140" w:lineRule="exact"/>
        <w:rPr>
          <w:sz w:val="14"/>
          <w:szCs w:val="14"/>
        </w:rPr>
      </w:pPr>
    </w:p>
    <w:p w14:paraId="32D3EC54" w14:textId="77777777" w:rsidR="00C911C6" w:rsidRDefault="00C911C6" w:rsidP="00C911C6">
      <w:pPr>
        <w:spacing w:after="0" w:line="200" w:lineRule="exact"/>
        <w:rPr>
          <w:sz w:val="20"/>
          <w:szCs w:val="20"/>
        </w:rPr>
      </w:pPr>
    </w:p>
    <w:p w14:paraId="071E137B" w14:textId="77777777" w:rsidR="00C911C6" w:rsidRDefault="00C911C6" w:rsidP="00C911C6">
      <w:pPr>
        <w:spacing w:after="0" w:line="200" w:lineRule="exact"/>
        <w:rPr>
          <w:sz w:val="20"/>
          <w:szCs w:val="20"/>
        </w:rPr>
      </w:pPr>
    </w:p>
    <w:p w14:paraId="27DE1BAB" w14:textId="77777777" w:rsidR="00C911C6" w:rsidRDefault="00C911C6" w:rsidP="00C911C6">
      <w:pPr>
        <w:spacing w:before="24" w:after="0" w:line="240" w:lineRule="auto"/>
        <w:ind w:left="137" w:right="-20"/>
        <w:rPr>
          <w:rFonts w:ascii="Arial" w:eastAsia="Arial" w:hAnsi="Arial" w:cs="Arial"/>
          <w:sz w:val="28"/>
          <w:szCs w:val="28"/>
        </w:rPr>
      </w:pPr>
      <w:bookmarkStart w:id="8" w:name="Module15"/>
      <w:r w:rsidRPr="00C911C6">
        <w:rPr>
          <w:rFonts w:ascii="Arial" w:eastAsia="Arial" w:hAnsi="Arial" w:cs="Arial"/>
          <w:color w:val="98C43D"/>
          <w:spacing w:val="-1"/>
          <w:sz w:val="28"/>
          <w:szCs w:val="28"/>
        </w:rPr>
        <w:t>Charities established under company law</w:t>
      </w:r>
      <w:r>
        <w:rPr>
          <w:rFonts w:ascii="Arial" w:eastAsia="Arial" w:hAnsi="Arial" w:cs="Arial"/>
          <w:color w:val="98C43D"/>
          <w:spacing w:val="-1"/>
          <w:sz w:val="28"/>
          <w:szCs w:val="28"/>
        </w:rPr>
        <w:t xml:space="preserve"> </w:t>
      </w:r>
      <w:r w:rsidRPr="00F655C1">
        <w:rPr>
          <w:rFonts w:ascii="Arial" w:eastAsia="Arial" w:hAnsi="Arial" w:cs="Arial"/>
          <w:color w:val="98C43D"/>
          <w:spacing w:val="-5"/>
          <w:sz w:val="28"/>
          <w:szCs w:val="28"/>
        </w:rPr>
        <w:t xml:space="preserve">– module </w:t>
      </w:r>
      <w:r>
        <w:rPr>
          <w:rFonts w:ascii="Arial" w:eastAsia="Arial" w:hAnsi="Arial" w:cs="Arial"/>
          <w:color w:val="98C43D"/>
          <w:spacing w:val="-5"/>
          <w:sz w:val="28"/>
          <w:szCs w:val="28"/>
        </w:rPr>
        <w:t>15</w:t>
      </w:r>
    </w:p>
    <w:bookmarkEnd w:id="8"/>
    <w:p w14:paraId="0ED83BA0" w14:textId="77777777" w:rsidR="00C911C6" w:rsidRDefault="00C911C6" w:rsidP="00C911C6">
      <w:pPr>
        <w:spacing w:before="14" w:after="0" w:line="240" w:lineRule="auto"/>
        <w:ind w:right="-20"/>
        <w:rPr>
          <w:sz w:val="26"/>
          <w:szCs w:val="26"/>
        </w:rPr>
      </w:pPr>
      <w:r>
        <w:rPr>
          <w:noProof/>
          <w:lang w:val="en-GB" w:eastAsia="en-GB"/>
        </w:rPr>
        <mc:AlternateContent>
          <mc:Choice Requires="wpg">
            <w:drawing>
              <wp:anchor distT="0" distB="0" distL="114300" distR="114300" simplePos="0" relativeHeight="251677696" behindDoc="1" locked="0" layoutInCell="1" allowOverlap="1" wp14:anchorId="336F6542" wp14:editId="538C6154">
                <wp:simplePos x="0" y="0"/>
                <wp:positionH relativeFrom="page">
                  <wp:posOffset>887095</wp:posOffset>
                </wp:positionH>
                <wp:positionV relativeFrom="paragraph">
                  <wp:posOffset>37796</wp:posOffset>
                </wp:positionV>
                <wp:extent cx="5760085" cy="1270"/>
                <wp:effectExtent l="0" t="0" r="12065" b="17780"/>
                <wp:wrapNone/>
                <wp:docPr id="4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395"/>
                          <a:chExt cx="9071" cy="2"/>
                        </a:xfrm>
                      </wpg:grpSpPr>
                      <wps:wsp>
                        <wps:cNvPr id="49" name="Freeform 11"/>
                        <wps:cNvSpPr>
                          <a:spLocks/>
                        </wps:cNvSpPr>
                        <wps:spPr bwMode="auto">
                          <a:xfrm>
                            <a:off x="1417" y="39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EB92F" id="Group 10" o:spid="_x0000_s1026" style="position:absolute;margin-left:69.85pt;margin-top:3pt;width:453.55pt;height:.1pt;z-index:-251638784;mso-position-horizontal-relative:page" coordorigin="1417,39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">
                <v:shape id="Freeform 11" o:spid="_x0000_s1027" style="position:absolute;left:1417;top:39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1kscA&#10;AADbAAAADwAAAGRycy9kb3ducmV2LnhtbESPW2vCQBSE34X+h+UU+qYbSy01ukrpRfpgC95Q3w7Z&#10;0000ezZkt0n6712h0MdhZr5hpvPOlqKh2heOFQwHCQjizOmCjYLt5r3/BMIHZI2lY1LwSx7ms5ve&#10;FFPtWl5Rsw5GRAj7FBXkIVSplD7LyaIfuIo4et+uthiirI3UNbYRbkt5nySP0mLBcSHHil5yys7r&#10;H6tgZE6HsNjsv1rTfNJxORq+vjU7pe5uu+cJiEBd+A//tT+0gocxXL/EH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K9ZLHAAAA2wAAAA8AAAAAAAAAAAAAAAAAmAIAAGRy&#10;cy9kb3ducmV2LnhtbFBLBQYAAAAABAAEAPUAAACMAwAAAAA=&#10;" path="m,l9071,e" filled="f" strokecolor="#98c43d" strokeweight=".5pt">
                  <v:path arrowok="t" o:connecttype="custom" o:connectlocs="0,0;9071,0" o:connectangles="0,0"/>
                </v:shape>
                <w10:wrap anchorx="page"/>
              </v:group>
            </w:pict>
          </mc:Fallback>
        </mc:AlternateContent>
      </w:r>
    </w:p>
    <w:p w14:paraId="18742E10" w14:textId="77777777" w:rsidR="00C911C6" w:rsidRDefault="00C911C6" w:rsidP="00C911C6">
      <w:pPr>
        <w:spacing w:after="0" w:line="240" w:lineRule="auto"/>
        <w:ind w:left="137" w:right="-20"/>
        <w:rPr>
          <w:rFonts w:ascii="Arial" w:eastAsia="Arial" w:hAnsi="Arial" w:cs="Arial"/>
          <w:sz w:val="24"/>
          <w:szCs w:val="24"/>
        </w:rPr>
      </w:pPr>
      <w:r>
        <w:rPr>
          <w:rFonts w:ascii="Arial" w:eastAsia="Arial" w:hAnsi="Arial" w:cs="Arial"/>
          <w:b/>
          <w:bCs/>
          <w:color w:val="4D4D4F"/>
          <w:spacing w:val="-3"/>
          <w:sz w:val="24"/>
          <w:szCs w:val="24"/>
        </w:rPr>
        <w:t xml:space="preserve">Topic: </w:t>
      </w:r>
      <w:r w:rsidRPr="00C911C6">
        <w:rPr>
          <w:rFonts w:ascii="Arial" w:eastAsia="Arial" w:hAnsi="Arial" w:cs="Arial"/>
          <w:b/>
          <w:bCs/>
          <w:i/>
          <w:color w:val="4D4D4F"/>
          <w:spacing w:val="-3"/>
          <w:sz w:val="24"/>
          <w:szCs w:val="24"/>
        </w:rPr>
        <w:t xml:space="preserve">Reporting requirements for charitable companies reporting in the Republic of Ireland under the Companies Act 2014 </w:t>
      </w:r>
      <w:r w:rsidRPr="000A6E3E">
        <w:rPr>
          <w:rFonts w:ascii="Arial" w:eastAsia="Arial" w:hAnsi="Arial" w:cs="Arial"/>
          <w:b/>
          <w:bCs/>
          <w:color w:val="4D4D4F"/>
          <w:spacing w:val="-3"/>
          <w:sz w:val="24"/>
          <w:szCs w:val="24"/>
        </w:rPr>
        <w:t>– Republic of Ireland only</w:t>
      </w:r>
    </w:p>
    <w:p w14:paraId="3C17D37C" w14:textId="77777777" w:rsidR="00C911C6" w:rsidRDefault="00C911C6" w:rsidP="00C911C6">
      <w:pPr>
        <w:spacing w:before="6" w:after="0" w:line="150" w:lineRule="exact"/>
        <w:rPr>
          <w:sz w:val="15"/>
          <w:szCs w:val="15"/>
        </w:rPr>
      </w:pPr>
    </w:p>
    <w:p w14:paraId="7919144F" w14:textId="7683AE59" w:rsidR="00C911C6" w:rsidRDefault="00C911C6" w:rsidP="00C911C6">
      <w:pPr>
        <w:tabs>
          <w:tab w:val="left" w:pos="760"/>
        </w:tabs>
        <w:spacing w:after="0" w:line="240" w:lineRule="auto"/>
        <w:ind w:left="137" w:right="-20"/>
        <w:rPr>
          <w:rFonts w:ascii="Arial" w:eastAsia="Arial" w:hAnsi="Arial" w:cs="Arial"/>
        </w:rPr>
      </w:pPr>
      <w:r w:rsidRPr="00C911C6">
        <w:rPr>
          <w:rFonts w:ascii="Arial" w:eastAsia="Arial" w:hAnsi="Arial" w:cs="Arial"/>
          <w:color w:val="4D4D4F"/>
        </w:rPr>
        <w:t>The SORP is developed within the context of law and accounting standards. In the Republic of Ireland, the new Companies Act 2014 (‘the act’) has replaced the Companies Acts 1963-2013. Requirements within the Charities SORP (FRS 102) which have been replaced or updated by the act are noted below.</w:t>
      </w:r>
    </w:p>
    <w:p w14:paraId="522D19DA" w14:textId="77777777" w:rsidR="00C911C6" w:rsidRDefault="00C911C6" w:rsidP="00C911C6">
      <w:pPr>
        <w:spacing w:before="5" w:after="0" w:line="110" w:lineRule="exact"/>
        <w:rPr>
          <w:sz w:val="11"/>
          <w:szCs w:val="11"/>
        </w:rPr>
      </w:pPr>
    </w:p>
    <w:p w14:paraId="2745A37A" w14:textId="65092A5C" w:rsidR="00C911C6" w:rsidRDefault="006B6F98" w:rsidP="00C911C6">
      <w:pPr>
        <w:tabs>
          <w:tab w:val="left" w:pos="760"/>
        </w:tabs>
        <w:spacing w:after="0" w:line="240" w:lineRule="auto"/>
        <w:ind w:left="137" w:right="-20"/>
        <w:rPr>
          <w:rFonts w:ascii="Arial" w:eastAsia="Arial" w:hAnsi="Arial" w:cs="Arial"/>
          <w:color w:val="4D4D4F"/>
        </w:rPr>
      </w:pPr>
      <w:r w:rsidRPr="006B6F98">
        <w:rPr>
          <w:rFonts w:ascii="Arial" w:eastAsia="Arial" w:hAnsi="Arial" w:cs="Arial"/>
          <w:color w:val="4D4D4F"/>
        </w:rPr>
        <w:t xml:space="preserve">Those charities registered as companies under company law (charitable companies) should refer the </w:t>
      </w:r>
      <w:r w:rsidR="00C616E8">
        <w:rPr>
          <w:rFonts w:ascii="Arial" w:eastAsia="Arial" w:hAnsi="Arial" w:cs="Arial"/>
          <w:color w:val="4D4D4F"/>
        </w:rPr>
        <w:t>A</w:t>
      </w:r>
      <w:r w:rsidRPr="006B6F98">
        <w:rPr>
          <w:rFonts w:ascii="Arial" w:eastAsia="Arial" w:hAnsi="Arial" w:cs="Arial"/>
          <w:color w:val="4D4D4F"/>
        </w:rPr>
        <w:t>ct to ensure th</w:t>
      </w:r>
      <w:r w:rsidR="00C616E8">
        <w:rPr>
          <w:rFonts w:ascii="Arial" w:eastAsia="Arial" w:hAnsi="Arial" w:cs="Arial"/>
          <w:color w:val="4D4D4F"/>
        </w:rPr>
        <w:t>at th</w:t>
      </w:r>
      <w:r w:rsidRPr="006B6F98">
        <w:rPr>
          <w:rFonts w:ascii="Arial" w:eastAsia="Arial" w:hAnsi="Arial" w:cs="Arial"/>
          <w:color w:val="4D4D4F"/>
        </w:rPr>
        <w:t>ey meet the accounting requirements and disclosures applicable to them.</w:t>
      </w:r>
    </w:p>
    <w:p w14:paraId="359D4CA6" w14:textId="77777777" w:rsidR="006B6F98" w:rsidRDefault="006B6F98" w:rsidP="006B6F98">
      <w:pPr>
        <w:spacing w:before="5" w:after="0" w:line="110" w:lineRule="exact"/>
        <w:rPr>
          <w:sz w:val="11"/>
          <w:szCs w:val="11"/>
        </w:rPr>
      </w:pPr>
    </w:p>
    <w:p w14:paraId="6E924129" w14:textId="77777777" w:rsidR="006B6F98" w:rsidRDefault="006B6F98" w:rsidP="006B6F98">
      <w:pPr>
        <w:spacing w:before="14" w:after="0" w:line="240" w:lineRule="auto"/>
        <w:ind w:right="-20"/>
        <w:rPr>
          <w:sz w:val="26"/>
          <w:szCs w:val="26"/>
        </w:rPr>
      </w:pPr>
    </w:p>
    <w:p w14:paraId="7BDABF52" w14:textId="77777777" w:rsidR="006B6F98" w:rsidRPr="006B6F98" w:rsidRDefault="006B6F98" w:rsidP="006B6F98">
      <w:pPr>
        <w:tabs>
          <w:tab w:val="left" w:pos="760"/>
        </w:tabs>
        <w:spacing w:after="0" w:line="240" w:lineRule="auto"/>
        <w:ind w:left="137" w:right="-20"/>
        <w:rPr>
          <w:rFonts w:ascii="Arial" w:eastAsia="Arial" w:hAnsi="Arial" w:cs="Arial"/>
          <w:b/>
          <w:color w:val="4D4D4F"/>
        </w:rPr>
      </w:pPr>
      <w:r w:rsidRPr="006B6F98">
        <w:rPr>
          <w:rFonts w:ascii="Arial" w:eastAsia="Arial" w:hAnsi="Arial" w:cs="Arial"/>
          <w:b/>
          <w:color w:val="4D4D4F"/>
        </w:rPr>
        <w:t>Preparation of the directors’ report</w:t>
      </w:r>
    </w:p>
    <w:p w14:paraId="11EAAFB1" w14:textId="77777777" w:rsidR="006B6F98" w:rsidRDefault="006B6F98" w:rsidP="006B6F98">
      <w:pPr>
        <w:spacing w:before="5" w:after="0" w:line="110" w:lineRule="exact"/>
        <w:rPr>
          <w:sz w:val="11"/>
          <w:szCs w:val="11"/>
        </w:rPr>
      </w:pPr>
    </w:p>
    <w:p w14:paraId="7362D95D" w14:textId="77777777" w:rsidR="006B6F98" w:rsidRDefault="006B6F98" w:rsidP="006B6F98">
      <w:pPr>
        <w:tabs>
          <w:tab w:val="left" w:pos="760"/>
        </w:tabs>
        <w:spacing w:after="0" w:line="240" w:lineRule="auto"/>
        <w:ind w:left="137" w:right="-20"/>
        <w:rPr>
          <w:rFonts w:ascii="Arial" w:eastAsia="Arial" w:hAnsi="Arial" w:cs="Arial"/>
          <w:color w:val="4D4D4F"/>
        </w:rPr>
      </w:pPr>
      <w:r w:rsidRPr="006B6F98">
        <w:rPr>
          <w:rFonts w:ascii="Arial" w:eastAsia="Arial" w:hAnsi="Arial" w:cs="Arial"/>
          <w:color w:val="4D4D4F"/>
        </w:rPr>
        <w:t>Charitable companies in the Republic of Ireland must provide a ‘business review’ that meets the requirements of company law. Charities should refer to sections 327 of the Companies Act 2014 when preparing their business review.</w:t>
      </w:r>
    </w:p>
    <w:p w14:paraId="3239AA3D" w14:textId="77777777" w:rsidR="006B6F98" w:rsidRDefault="006B6F98" w:rsidP="006B6F98">
      <w:pPr>
        <w:spacing w:before="5" w:after="0" w:line="110" w:lineRule="exact"/>
        <w:rPr>
          <w:sz w:val="11"/>
          <w:szCs w:val="11"/>
        </w:rPr>
      </w:pPr>
    </w:p>
    <w:p w14:paraId="6944BDE6" w14:textId="77777777" w:rsidR="00C911C6" w:rsidRDefault="006B6F98" w:rsidP="00C911C6">
      <w:pPr>
        <w:tabs>
          <w:tab w:val="left" w:pos="760"/>
        </w:tabs>
        <w:spacing w:after="0" w:line="240" w:lineRule="auto"/>
        <w:ind w:left="137" w:right="-20"/>
        <w:rPr>
          <w:rFonts w:ascii="Arial" w:eastAsia="Arial" w:hAnsi="Arial" w:cs="Arial"/>
          <w:color w:val="4D4D4F"/>
        </w:rPr>
      </w:pPr>
      <w:r w:rsidRPr="006B6F98">
        <w:rPr>
          <w:rFonts w:ascii="Arial" w:eastAsia="Arial" w:hAnsi="Arial" w:cs="Arial"/>
          <w:color w:val="4D4D4F"/>
        </w:rPr>
        <w:t>This requirement applies for company charities in the Republic of Ireland for reports and accounts approved on or after 1 June 2015.</w:t>
      </w:r>
    </w:p>
    <w:p w14:paraId="0D36154C" w14:textId="77777777" w:rsidR="006B6F98" w:rsidRDefault="006B6F98" w:rsidP="006B6F98">
      <w:pPr>
        <w:spacing w:before="5" w:after="0" w:line="110" w:lineRule="exact"/>
        <w:rPr>
          <w:sz w:val="11"/>
          <w:szCs w:val="11"/>
        </w:rPr>
      </w:pPr>
    </w:p>
    <w:p w14:paraId="011D805F" w14:textId="77777777" w:rsidR="006B6F98" w:rsidRDefault="006B6F98" w:rsidP="006B6F98">
      <w:pPr>
        <w:spacing w:before="14" w:after="0" w:line="240" w:lineRule="auto"/>
        <w:ind w:right="-20"/>
        <w:rPr>
          <w:sz w:val="26"/>
          <w:szCs w:val="26"/>
        </w:rPr>
      </w:pPr>
    </w:p>
    <w:p w14:paraId="63D263B3" w14:textId="77777777" w:rsidR="006B6F98" w:rsidRPr="006B6F98" w:rsidRDefault="006B6F98" w:rsidP="006B6F98">
      <w:pPr>
        <w:tabs>
          <w:tab w:val="left" w:pos="760"/>
        </w:tabs>
        <w:spacing w:after="0" w:line="240" w:lineRule="auto"/>
        <w:ind w:left="137" w:right="-20"/>
        <w:rPr>
          <w:rFonts w:ascii="Arial" w:eastAsia="Arial" w:hAnsi="Arial" w:cs="Arial"/>
          <w:b/>
          <w:color w:val="4D4D4F"/>
        </w:rPr>
      </w:pPr>
      <w:r w:rsidRPr="006B6F98">
        <w:rPr>
          <w:rFonts w:ascii="Arial" w:eastAsia="Arial" w:hAnsi="Arial" w:cs="Arial"/>
          <w:b/>
          <w:color w:val="4D4D4F"/>
        </w:rPr>
        <w:t>Summary income and expenditure account</w:t>
      </w:r>
    </w:p>
    <w:p w14:paraId="1947A3CC" w14:textId="77777777" w:rsidR="006B6F98" w:rsidRDefault="006B6F98" w:rsidP="006B6F98">
      <w:pPr>
        <w:spacing w:before="5" w:after="0" w:line="110" w:lineRule="exact"/>
        <w:rPr>
          <w:sz w:val="11"/>
          <w:szCs w:val="11"/>
        </w:rPr>
      </w:pPr>
    </w:p>
    <w:p w14:paraId="6C6378E9" w14:textId="41CD288D" w:rsidR="006B6F98" w:rsidRDefault="006B6F98" w:rsidP="006B6F98">
      <w:pPr>
        <w:tabs>
          <w:tab w:val="left" w:pos="760"/>
        </w:tabs>
        <w:spacing w:after="0" w:line="240" w:lineRule="auto"/>
        <w:ind w:left="137" w:right="-20"/>
        <w:rPr>
          <w:rFonts w:ascii="Arial" w:eastAsia="Arial" w:hAnsi="Arial" w:cs="Arial"/>
          <w:color w:val="4D4D4F"/>
        </w:rPr>
      </w:pPr>
      <w:r w:rsidRPr="006B6F98">
        <w:rPr>
          <w:rFonts w:ascii="Arial" w:eastAsia="Arial" w:hAnsi="Arial" w:cs="Arial"/>
          <w:color w:val="4D4D4F"/>
        </w:rPr>
        <w:t xml:space="preserve">The reporting requirements </w:t>
      </w:r>
      <w:r w:rsidR="00C616E8">
        <w:rPr>
          <w:rFonts w:ascii="Arial" w:eastAsia="Arial" w:hAnsi="Arial" w:cs="Arial"/>
          <w:color w:val="4D4D4F"/>
        </w:rPr>
        <w:t xml:space="preserve">previously found </w:t>
      </w:r>
      <w:r w:rsidRPr="006B6F98">
        <w:rPr>
          <w:rFonts w:ascii="Arial" w:eastAsia="Arial" w:hAnsi="Arial" w:cs="Arial"/>
          <w:color w:val="4D4D4F"/>
        </w:rPr>
        <w:t xml:space="preserve">within paragraphs 15.15 and 15.16, specified in Schedule 6 to the Companies Act 1963, still apply and are replaced by Schedule 3 of the </w:t>
      </w:r>
      <w:r w:rsidR="00C616E8">
        <w:rPr>
          <w:rFonts w:ascii="Arial" w:eastAsia="Arial" w:hAnsi="Arial" w:cs="Arial"/>
          <w:color w:val="4D4D4F"/>
        </w:rPr>
        <w:t>A</w:t>
      </w:r>
      <w:r w:rsidRPr="006B6F98">
        <w:rPr>
          <w:rFonts w:ascii="Arial" w:eastAsia="Arial" w:hAnsi="Arial" w:cs="Arial"/>
          <w:color w:val="4D4D4F"/>
        </w:rPr>
        <w:t>ct.</w:t>
      </w:r>
    </w:p>
    <w:p w14:paraId="3F227E80" w14:textId="77777777" w:rsidR="006B6F98" w:rsidRDefault="006B6F98" w:rsidP="006B6F98">
      <w:pPr>
        <w:tabs>
          <w:tab w:val="left" w:pos="760"/>
        </w:tabs>
        <w:spacing w:after="0" w:line="240" w:lineRule="auto"/>
        <w:ind w:left="137" w:right="-20"/>
        <w:rPr>
          <w:rFonts w:ascii="Arial" w:eastAsia="Arial" w:hAnsi="Arial" w:cs="Arial"/>
          <w:color w:val="4D4D4F"/>
        </w:rPr>
      </w:pPr>
    </w:p>
    <w:p w14:paraId="582C762B" w14:textId="2C73E56E" w:rsidR="00571880" w:rsidRDefault="00571880">
      <w:pPr>
        <w:rPr>
          <w:rFonts w:ascii="Arial" w:eastAsia="Arial" w:hAnsi="Arial" w:cs="Arial"/>
          <w:color w:val="4D4D4F"/>
        </w:rPr>
      </w:pPr>
      <w:r>
        <w:rPr>
          <w:rFonts w:ascii="Arial" w:eastAsia="Arial" w:hAnsi="Arial" w:cs="Arial"/>
          <w:color w:val="4D4D4F"/>
        </w:rPr>
        <w:br w:type="page"/>
      </w:r>
    </w:p>
    <w:p w14:paraId="7D4A5828" w14:textId="77777777" w:rsidR="00FB4402" w:rsidRDefault="00FB4402" w:rsidP="00FB4402">
      <w:pPr>
        <w:spacing w:before="7" w:after="0" w:line="140" w:lineRule="exact"/>
        <w:rPr>
          <w:sz w:val="14"/>
          <w:szCs w:val="14"/>
        </w:rPr>
      </w:pPr>
    </w:p>
    <w:p w14:paraId="2824F1CA" w14:textId="77777777" w:rsidR="00FB4402" w:rsidRDefault="00FB4402" w:rsidP="00FB4402">
      <w:pPr>
        <w:spacing w:after="0" w:line="200" w:lineRule="exact"/>
        <w:rPr>
          <w:sz w:val="20"/>
          <w:szCs w:val="20"/>
        </w:rPr>
      </w:pPr>
    </w:p>
    <w:p w14:paraId="2C5CA495" w14:textId="77777777" w:rsidR="00FB4402" w:rsidRDefault="00FB4402" w:rsidP="00FB4402">
      <w:pPr>
        <w:spacing w:after="0" w:line="200" w:lineRule="exact"/>
        <w:rPr>
          <w:sz w:val="20"/>
          <w:szCs w:val="20"/>
        </w:rPr>
      </w:pPr>
    </w:p>
    <w:p w14:paraId="7922A591" w14:textId="7294B629" w:rsidR="00FB4402" w:rsidRDefault="00FB4402" w:rsidP="00FB4402">
      <w:pPr>
        <w:spacing w:before="24" w:after="0" w:line="240" w:lineRule="auto"/>
        <w:ind w:left="137" w:right="-20"/>
        <w:rPr>
          <w:rFonts w:ascii="Arial" w:eastAsia="Arial" w:hAnsi="Arial" w:cs="Arial"/>
          <w:sz w:val="28"/>
          <w:szCs w:val="28"/>
        </w:rPr>
      </w:pPr>
    </w:p>
    <w:p w14:paraId="4136A9C8" w14:textId="77777777" w:rsidR="00FB4402" w:rsidRDefault="00FB4402" w:rsidP="00FB4402">
      <w:pPr>
        <w:spacing w:before="14" w:after="0" w:line="240" w:lineRule="auto"/>
        <w:ind w:right="-20"/>
        <w:rPr>
          <w:sz w:val="26"/>
          <w:szCs w:val="26"/>
        </w:rPr>
      </w:pPr>
      <w:r>
        <w:rPr>
          <w:noProof/>
          <w:lang w:val="en-GB" w:eastAsia="en-GB"/>
        </w:rPr>
        <mc:AlternateContent>
          <mc:Choice Requires="wpg">
            <w:drawing>
              <wp:anchor distT="0" distB="0" distL="114300" distR="114300" simplePos="0" relativeHeight="251683840" behindDoc="1" locked="0" layoutInCell="1" allowOverlap="1" wp14:anchorId="78D4E877" wp14:editId="097F464A">
                <wp:simplePos x="0" y="0"/>
                <wp:positionH relativeFrom="page">
                  <wp:posOffset>887095</wp:posOffset>
                </wp:positionH>
                <wp:positionV relativeFrom="paragraph">
                  <wp:posOffset>37796</wp:posOffset>
                </wp:positionV>
                <wp:extent cx="5760085" cy="1270"/>
                <wp:effectExtent l="0" t="57150" r="0" b="558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395"/>
                          <a:chExt cx="9071" cy="2"/>
                        </a:xfrm>
                      </wpg:grpSpPr>
                      <wps:wsp>
                        <wps:cNvPr id="11" name="Freeform 11"/>
                        <wps:cNvSpPr>
                          <a:spLocks/>
                        </wps:cNvSpPr>
                        <wps:spPr bwMode="auto">
                          <a:xfrm>
                            <a:off x="1417" y="39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C7625" id="Group 10" o:spid="_x0000_s1026" style="position:absolute;margin-left:69.85pt;margin-top:3pt;width:453.55pt;height:.1pt;z-index:-251632640;mso-position-horizontal-relative:page" coordorigin="1417,39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">
                <v:shape id="Freeform 11" o:spid="_x0000_s1027" style="position:absolute;left:1417;top:39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wbsAA&#10;AADbAAAADwAAAGRycy9kb3ducmV2LnhtbERP22oCMRB9L/gPYQq+1awtFdkapQiCIFLU9X3YjHtp&#10;MlmSqOvfG0HwbQ7nOrNFb424kA+NYwXjUQaCuHS64UpBcVh9TEGEiKzROCYFNwqwmA/eZphrd+Ud&#10;XfaxEimEQ44K6hi7XMpQ1mQxjFxHnLiT8xZjgr6S2uM1hVsjP7NsIi02nBpq7GhZU/m/P1sF5926&#10;7b//tpusMCdzLNrN6qv1Sg3f+98fEJH6+BI/3Wud5o/h8Us6QM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nwbsAAAADbAAAADwAAAAAAAAAAAAAAAACYAgAAZHJzL2Rvd25y&#10;ZXYueG1sUEsFBgAAAAAEAAQA9QAAAIUDAAAAAA==&#10;" path="m,l9071,e" filled="f" stroked="f" strokeweight=".5pt">
                  <v:path arrowok="t" o:connecttype="custom" o:connectlocs="0,0;9071,0" o:connectangles="0,0"/>
                </v:shape>
                <w10:wrap anchorx="page"/>
              </v:group>
            </w:pict>
          </mc:Fallback>
        </mc:AlternateContent>
      </w:r>
    </w:p>
    <w:p w14:paraId="75358094" w14:textId="0808C145" w:rsidR="006B6F98" w:rsidRDefault="00FB4402" w:rsidP="00FB4402">
      <w:pPr>
        <w:tabs>
          <w:tab w:val="left" w:pos="760"/>
        </w:tabs>
        <w:spacing w:after="0" w:line="240" w:lineRule="auto"/>
        <w:ind w:left="1440" w:right="-20" w:hanging="1303"/>
        <w:rPr>
          <w:rFonts w:ascii="Arial" w:eastAsia="Arial" w:hAnsi="Arial" w:cs="Arial"/>
          <w:color w:val="4D4D4F"/>
        </w:rPr>
      </w:pPr>
      <w:r>
        <w:rPr>
          <w:rFonts w:ascii="Arial" w:eastAsia="Arial" w:hAnsi="Arial" w:cs="Arial"/>
          <w:b/>
          <w:bCs/>
          <w:color w:val="4D4D4F"/>
          <w:spacing w:val="-3"/>
          <w:sz w:val="24"/>
          <w:szCs w:val="24"/>
        </w:rPr>
        <w:t xml:space="preserve">Topic: </w:t>
      </w:r>
      <w:r w:rsidRPr="00FB4402">
        <w:rPr>
          <w:rFonts w:ascii="Arial" w:eastAsia="Arial" w:hAnsi="Arial" w:cs="Arial"/>
          <w:b/>
          <w:bCs/>
          <w:i/>
          <w:color w:val="4D4D4F"/>
          <w:spacing w:val="-3"/>
          <w:sz w:val="24"/>
          <w:szCs w:val="24"/>
        </w:rPr>
        <w:t>Requirement for a fair value reserve</w:t>
      </w:r>
    </w:p>
    <w:p w14:paraId="01E65B23" w14:textId="77777777" w:rsidR="00571880" w:rsidRDefault="00571880" w:rsidP="00571880">
      <w:pPr>
        <w:spacing w:before="6" w:after="0" w:line="150" w:lineRule="exact"/>
        <w:rPr>
          <w:sz w:val="15"/>
          <w:szCs w:val="15"/>
        </w:rPr>
      </w:pPr>
    </w:p>
    <w:p w14:paraId="7D42EDC8" w14:textId="7F9A4B66" w:rsidR="00571880" w:rsidRDefault="0014719E" w:rsidP="00571880">
      <w:pPr>
        <w:tabs>
          <w:tab w:val="left" w:pos="760"/>
        </w:tabs>
        <w:spacing w:after="0" w:line="240" w:lineRule="auto"/>
        <w:ind w:left="137" w:right="-20"/>
        <w:rPr>
          <w:rFonts w:ascii="Arial" w:eastAsia="Arial" w:hAnsi="Arial" w:cs="Arial"/>
          <w:color w:val="4D4D4F"/>
        </w:rPr>
      </w:pPr>
      <w:r w:rsidRPr="0014719E">
        <w:rPr>
          <w:rFonts w:ascii="Arial" w:eastAsia="Arial" w:hAnsi="Arial" w:cs="Arial"/>
          <w:color w:val="4D4D4F"/>
        </w:rPr>
        <w:t>As noted in paragraph 15.23 of the SORP, UK charitable companies must set up a fair value reserve for certain types of financial instruments as detailed in Companies Act regulation.</w:t>
      </w:r>
    </w:p>
    <w:p w14:paraId="0BA907F9" w14:textId="77777777" w:rsidR="00571880" w:rsidRPr="001428A5" w:rsidRDefault="00571880" w:rsidP="00571880">
      <w:pPr>
        <w:tabs>
          <w:tab w:val="left" w:pos="760"/>
        </w:tabs>
        <w:spacing w:after="0" w:line="240" w:lineRule="auto"/>
        <w:ind w:left="137" w:right="-20"/>
        <w:rPr>
          <w:rFonts w:eastAsia="Arial" w:cs="Arial"/>
          <w:color w:val="4D4D4F"/>
          <w:sz w:val="11"/>
          <w:szCs w:val="11"/>
        </w:rPr>
      </w:pPr>
    </w:p>
    <w:p w14:paraId="5F113FEC" w14:textId="3596B90F" w:rsidR="0014719E" w:rsidRDefault="0014719E" w:rsidP="00571880">
      <w:pPr>
        <w:tabs>
          <w:tab w:val="left" w:pos="760"/>
        </w:tabs>
        <w:spacing w:after="0" w:line="240" w:lineRule="auto"/>
        <w:ind w:left="137" w:right="-20"/>
        <w:rPr>
          <w:rFonts w:ascii="Arial" w:eastAsia="Arial" w:hAnsi="Arial" w:cs="Arial"/>
          <w:color w:val="4D4D4F"/>
        </w:rPr>
      </w:pPr>
      <w:r w:rsidRPr="0014719E">
        <w:rPr>
          <w:rFonts w:ascii="Arial" w:eastAsia="Arial" w:hAnsi="Arial" w:cs="Arial"/>
          <w:color w:val="4D4D4F"/>
        </w:rPr>
        <w:t>The Small Companies and Groups (Accounts and Directors’ Report) Regulations 2008 and The Large and Medium-sized Companies and Groups (Accounts and Directors’ Report) Regulations 2008 (‘the regulation’) require a fair value reserve to be maintained for financial instruments that are used in hedge accounting</w:t>
      </w:r>
      <w:r>
        <w:rPr>
          <w:rFonts w:ascii="Arial" w:eastAsia="Arial" w:hAnsi="Arial" w:cs="Arial"/>
          <w:color w:val="4D4D4F"/>
        </w:rPr>
        <w:t xml:space="preserve"> in the following situations</w:t>
      </w:r>
      <w:r w:rsidRPr="0014719E">
        <w:rPr>
          <w:rFonts w:ascii="Arial" w:eastAsia="Arial" w:hAnsi="Arial" w:cs="Arial"/>
          <w:color w:val="4D4D4F"/>
        </w:rPr>
        <w:t>:</w:t>
      </w:r>
    </w:p>
    <w:p w14:paraId="7EA088D8" w14:textId="77777777" w:rsidR="00571880" w:rsidRDefault="00571880" w:rsidP="00571880">
      <w:pPr>
        <w:spacing w:after="0" w:line="160" w:lineRule="exact"/>
        <w:rPr>
          <w:sz w:val="16"/>
          <w:szCs w:val="16"/>
        </w:rPr>
      </w:pPr>
    </w:p>
    <w:p w14:paraId="6FAED44E" w14:textId="77777777" w:rsidR="00571880" w:rsidRDefault="00571880" w:rsidP="00571880">
      <w:pPr>
        <w:tabs>
          <w:tab w:val="left" w:pos="1380"/>
        </w:tabs>
        <w:spacing w:after="0" w:line="284" w:lineRule="auto"/>
        <w:ind w:left="1385" w:right="49" w:hanging="624"/>
        <w:rPr>
          <w:rFonts w:ascii="Arial" w:eastAsia="Arial" w:hAnsi="Arial" w:cs="Arial"/>
          <w:i/>
          <w:color w:val="4D4D4F"/>
        </w:rPr>
      </w:pPr>
      <w:r w:rsidRPr="006B6F98">
        <w:rPr>
          <w:rFonts w:ascii="Arial" w:eastAsia="Arial" w:hAnsi="Arial" w:cs="Arial"/>
          <w:i/>
          <w:color w:val="4D4D4F"/>
        </w:rPr>
        <w:tab/>
      </w:r>
      <w:r>
        <w:rPr>
          <w:rFonts w:ascii="Arial" w:eastAsia="Arial" w:hAnsi="Arial" w:cs="Arial"/>
          <w:i/>
          <w:color w:val="4D4D4F"/>
        </w:rPr>
        <w:t>Where:</w:t>
      </w:r>
    </w:p>
    <w:p w14:paraId="2113AEB2" w14:textId="77777777" w:rsidR="00571880" w:rsidRDefault="00571880" w:rsidP="00571880">
      <w:pPr>
        <w:spacing w:after="0" w:line="160" w:lineRule="exact"/>
        <w:rPr>
          <w:sz w:val="16"/>
          <w:szCs w:val="16"/>
        </w:rPr>
      </w:pPr>
    </w:p>
    <w:p w14:paraId="0B21ADF8" w14:textId="77777777" w:rsidR="00571880" w:rsidRDefault="00571880" w:rsidP="00571880">
      <w:pPr>
        <w:tabs>
          <w:tab w:val="left" w:pos="760"/>
        </w:tabs>
        <w:spacing w:after="0" w:line="240" w:lineRule="auto"/>
        <w:ind w:left="1440" w:right="-20" w:hanging="1303"/>
        <w:rPr>
          <w:rFonts w:ascii="Arial" w:eastAsia="Arial" w:hAnsi="Arial" w:cs="Arial"/>
          <w:color w:val="4D4D4F"/>
        </w:rPr>
      </w:pPr>
      <w:r>
        <w:rPr>
          <w:rFonts w:ascii="Arial" w:eastAsia="Arial" w:hAnsi="Arial" w:cs="Arial"/>
          <w:color w:val="4D4D4F"/>
        </w:rPr>
        <w:tab/>
      </w:r>
      <w:r w:rsidRPr="001428A5">
        <w:rPr>
          <w:rFonts w:ascii="Arial" w:eastAsia="Arial" w:hAnsi="Arial" w:cs="Arial"/>
          <w:i/>
          <w:color w:val="4D4D4F"/>
        </w:rPr>
        <w:t>(a)</w:t>
      </w:r>
      <w:r>
        <w:rPr>
          <w:rFonts w:ascii="Arial" w:eastAsia="Arial" w:hAnsi="Arial" w:cs="Arial"/>
          <w:color w:val="4D4D4F"/>
        </w:rPr>
        <w:tab/>
      </w:r>
      <w:r w:rsidRPr="00FA585C">
        <w:rPr>
          <w:rFonts w:ascii="Arial" w:eastAsia="Arial" w:hAnsi="Arial" w:cs="Arial"/>
          <w:i/>
          <w:color w:val="4D4D4F"/>
        </w:rPr>
        <w:t>the financial instrument accounted for is a hedging instrument under a hedge accounting system that allows some or all of the change in value not to be shown in the profit and loss account, or</w:t>
      </w:r>
    </w:p>
    <w:p w14:paraId="261BCBA0" w14:textId="77777777" w:rsidR="00571880" w:rsidRDefault="00571880" w:rsidP="00571880">
      <w:pPr>
        <w:spacing w:after="0" w:line="160" w:lineRule="exact"/>
        <w:rPr>
          <w:sz w:val="16"/>
          <w:szCs w:val="16"/>
        </w:rPr>
      </w:pPr>
    </w:p>
    <w:p w14:paraId="135F8C60" w14:textId="77777777" w:rsidR="00571880" w:rsidRDefault="00571880" w:rsidP="00571880">
      <w:pPr>
        <w:tabs>
          <w:tab w:val="left" w:pos="760"/>
        </w:tabs>
        <w:spacing w:after="0" w:line="240" w:lineRule="auto"/>
        <w:ind w:left="1440" w:right="-20" w:hanging="1303"/>
        <w:rPr>
          <w:rFonts w:ascii="Arial" w:eastAsia="Arial" w:hAnsi="Arial" w:cs="Arial"/>
          <w:color w:val="4D4D4F"/>
        </w:rPr>
      </w:pPr>
      <w:r>
        <w:rPr>
          <w:rFonts w:ascii="Arial" w:eastAsia="Arial" w:hAnsi="Arial" w:cs="Arial"/>
          <w:color w:val="4D4D4F"/>
        </w:rPr>
        <w:tab/>
      </w:r>
      <w:r w:rsidRPr="001428A5">
        <w:rPr>
          <w:rFonts w:ascii="Arial" w:eastAsia="Arial" w:hAnsi="Arial" w:cs="Arial"/>
          <w:i/>
          <w:color w:val="4D4D4F"/>
        </w:rPr>
        <w:t>(b)</w:t>
      </w:r>
      <w:r>
        <w:rPr>
          <w:rFonts w:ascii="Arial" w:eastAsia="Arial" w:hAnsi="Arial" w:cs="Arial"/>
          <w:color w:val="4D4D4F"/>
        </w:rPr>
        <w:tab/>
      </w:r>
      <w:r>
        <w:rPr>
          <w:rFonts w:ascii="Arial" w:eastAsia="Arial" w:hAnsi="Arial" w:cs="Arial"/>
          <w:i/>
          <w:color w:val="4D4D4F"/>
        </w:rPr>
        <w:t>the change in value relates to an exchange difference arising on a monetary items that forms part of the company’s net investment in a foreign entity,</w:t>
      </w:r>
    </w:p>
    <w:p w14:paraId="0C58C575" w14:textId="77777777" w:rsidR="0054477F" w:rsidRPr="00571880" w:rsidRDefault="0054477F" w:rsidP="0054477F">
      <w:pPr>
        <w:spacing w:after="0" w:line="200" w:lineRule="exact"/>
        <w:rPr>
          <w:sz w:val="16"/>
          <w:szCs w:val="16"/>
        </w:rPr>
      </w:pPr>
    </w:p>
    <w:p w14:paraId="68F586C2" w14:textId="77777777" w:rsidR="006B6F98" w:rsidRPr="00FA585C" w:rsidRDefault="00FA585C" w:rsidP="00FA585C">
      <w:pPr>
        <w:tabs>
          <w:tab w:val="left" w:pos="760"/>
        </w:tabs>
        <w:spacing w:after="0" w:line="240" w:lineRule="auto"/>
        <w:ind w:left="1440" w:right="-20"/>
        <w:rPr>
          <w:sz w:val="16"/>
          <w:szCs w:val="16"/>
        </w:rPr>
      </w:pPr>
      <w:r>
        <w:rPr>
          <w:rFonts w:ascii="Arial" w:eastAsia="Arial" w:hAnsi="Arial" w:cs="Arial"/>
          <w:i/>
          <w:color w:val="4D4D4F"/>
        </w:rPr>
        <w:t>the amount of the change in value must be credited to or (as the case may be) debited from a separate reserve (“the fair value reserve”)</w:t>
      </w:r>
      <w:r>
        <w:rPr>
          <w:rFonts w:ascii="Arial" w:eastAsia="Arial" w:hAnsi="Arial" w:cs="Arial"/>
          <w:color w:val="4D4D4F"/>
        </w:rPr>
        <w:t>.</w:t>
      </w:r>
    </w:p>
    <w:p w14:paraId="2E3FAA80" w14:textId="77777777" w:rsidR="006B6F98" w:rsidRDefault="006B6F98" w:rsidP="006B6F98">
      <w:pPr>
        <w:spacing w:after="0" w:line="160" w:lineRule="exact"/>
        <w:rPr>
          <w:sz w:val="16"/>
          <w:szCs w:val="16"/>
        </w:rPr>
      </w:pPr>
    </w:p>
    <w:p w14:paraId="5B7CCB29" w14:textId="77777777" w:rsidR="006B6F98" w:rsidRPr="00FA585C" w:rsidRDefault="00FA585C" w:rsidP="00FA585C">
      <w:pPr>
        <w:tabs>
          <w:tab w:val="left" w:pos="760"/>
        </w:tabs>
        <w:spacing w:after="0" w:line="240" w:lineRule="auto"/>
        <w:ind w:left="1440" w:right="-20"/>
        <w:rPr>
          <w:sz w:val="16"/>
          <w:szCs w:val="16"/>
        </w:rPr>
      </w:pPr>
      <w:r>
        <w:rPr>
          <w:rFonts w:ascii="Arial" w:eastAsia="Arial" w:hAnsi="Arial" w:cs="Arial"/>
          <w:color w:val="4D4D4F"/>
        </w:rPr>
        <w:t xml:space="preserve">The Small Companies and Groups (Accounts and Directors’ Report) Regulations 2008, Sch 1. Pt 2, s D </w:t>
      </w:r>
      <w:r w:rsidRPr="00FA585C">
        <w:rPr>
          <w:rFonts w:ascii="Arial" w:eastAsia="Arial" w:hAnsi="Arial" w:cs="Arial"/>
          <w:color w:val="4D4D4F"/>
        </w:rPr>
        <w:t>(40)(3)</w:t>
      </w:r>
    </w:p>
    <w:p w14:paraId="1BAD9988" w14:textId="77777777" w:rsidR="00F24EF9" w:rsidRDefault="00F24EF9" w:rsidP="00F24EF9">
      <w:pPr>
        <w:spacing w:before="5" w:after="0" w:line="110" w:lineRule="exact"/>
        <w:rPr>
          <w:sz w:val="11"/>
          <w:szCs w:val="11"/>
        </w:rPr>
      </w:pPr>
    </w:p>
    <w:p w14:paraId="1229FF89" w14:textId="77777777" w:rsidR="0014719E" w:rsidRDefault="0014719E" w:rsidP="00F24EF9">
      <w:pPr>
        <w:spacing w:before="5" w:after="0" w:line="110" w:lineRule="exact"/>
        <w:rPr>
          <w:sz w:val="11"/>
          <w:szCs w:val="11"/>
        </w:rPr>
      </w:pPr>
    </w:p>
    <w:p w14:paraId="6F115B89" w14:textId="3C553E54" w:rsidR="0089389C" w:rsidRDefault="0014719E" w:rsidP="0014719E">
      <w:pPr>
        <w:tabs>
          <w:tab w:val="left" w:pos="760"/>
        </w:tabs>
        <w:spacing w:after="0" w:line="240" w:lineRule="auto"/>
        <w:ind w:left="137" w:right="-20"/>
        <w:rPr>
          <w:rFonts w:ascii="Arial" w:eastAsia="Arial" w:hAnsi="Arial" w:cs="Arial"/>
          <w:color w:val="4D4D4F"/>
        </w:rPr>
      </w:pPr>
      <w:r w:rsidRPr="0014719E">
        <w:rPr>
          <w:rFonts w:ascii="Arial" w:eastAsia="Arial" w:hAnsi="Arial" w:cs="Arial"/>
          <w:color w:val="4D4D4F"/>
        </w:rPr>
        <w:t>Paragraph 40(4) of the regulation also gives companies the option to set up a fair value reserve for available for sale financial assets which are not derivatives</w:t>
      </w:r>
      <w:r>
        <w:rPr>
          <w:rFonts w:ascii="Arial" w:eastAsia="Arial" w:hAnsi="Arial" w:cs="Arial"/>
          <w:color w:val="4D4D4F"/>
        </w:rPr>
        <w:t>.</w:t>
      </w:r>
    </w:p>
    <w:p w14:paraId="1F7B7CFD" w14:textId="77777777" w:rsidR="0014719E" w:rsidRPr="0014719E" w:rsidRDefault="0014719E" w:rsidP="0014719E">
      <w:pPr>
        <w:tabs>
          <w:tab w:val="left" w:pos="760"/>
        </w:tabs>
        <w:spacing w:after="0" w:line="240" w:lineRule="auto"/>
        <w:ind w:left="137" w:right="-20"/>
        <w:rPr>
          <w:color w:val="595959" w:themeColor="text1" w:themeTint="A6"/>
          <w:sz w:val="16"/>
          <w:szCs w:val="16"/>
        </w:rPr>
      </w:pPr>
    </w:p>
    <w:p w14:paraId="40324C7B" w14:textId="4D11F91D" w:rsidR="00F24EF9" w:rsidRPr="0014719E" w:rsidRDefault="0014719E" w:rsidP="00F24EF9">
      <w:pPr>
        <w:tabs>
          <w:tab w:val="left" w:pos="760"/>
        </w:tabs>
        <w:spacing w:after="0" w:line="240" w:lineRule="auto"/>
        <w:ind w:left="137" w:right="-20"/>
        <w:rPr>
          <w:rFonts w:ascii="Arial" w:eastAsia="Arial" w:hAnsi="Arial" w:cs="Arial"/>
          <w:color w:val="595959" w:themeColor="text1" w:themeTint="A6"/>
        </w:rPr>
      </w:pPr>
      <w:r w:rsidRPr="0014719E">
        <w:rPr>
          <w:rFonts w:ascii="Arial" w:eastAsia="Arial" w:hAnsi="Arial" w:cs="Arial"/>
          <w:color w:val="595959" w:themeColor="text1" w:themeTint="A6"/>
        </w:rPr>
        <w:t>The requirement and option to set up a fair value reserve as detailed in the regulation is only applicable to UK charitable companies.</w:t>
      </w:r>
    </w:p>
    <w:p w14:paraId="0E70D0AA" w14:textId="77777777" w:rsidR="0014719E" w:rsidRPr="0014719E" w:rsidRDefault="0014719E" w:rsidP="0014719E">
      <w:pPr>
        <w:tabs>
          <w:tab w:val="left" w:pos="760"/>
        </w:tabs>
        <w:spacing w:after="0" w:line="240" w:lineRule="auto"/>
        <w:ind w:left="137" w:right="-20"/>
        <w:rPr>
          <w:rFonts w:eastAsia="Arial" w:cs="Arial"/>
          <w:color w:val="595959" w:themeColor="text1" w:themeTint="A6"/>
          <w:sz w:val="11"/>
          <w:szCs w:val="11"/>
        </w:rPr>
      </w:pPr>
    </w:p>
    <w:p w14:paraId="2B9BAE0C" w14:textId="3F6EB0D8" w:rsidR="0014719E" w:rsidRDefault="0014719E" w:rsidP="0014719E">
      <w:pPr>
        <w:tabs>
          <w:tab w:val="left" w:pos="760"/>
        </w:tabs>
        <w:spacing w:after="0" w:line="240" w:lineRule="auto"/>
        <w:ind w:left="137" w:right="-20"/>
        <w:rPr>
          <w:rFonts w:ascii="Arial" w:eastAsia="Arial" w:hAnsi="Arial" w:cs="Arial"/>
          <w:color w:val="4D4D4F"/>
        </w:rPr>
      </w:pPr>
      <w:r w:rsidRPr="0014719E">
        <w:rPr>
          <w:rFonts w:ascii="Arial" w:eastAsia="Arial" w:hAnsi="Arial" w:cs="Arial"/>
          <w:color w:val="595959" w:themeColor="text1" w:themeTint="A6"/>
        </w:rPr>
        <w:t>However it is recommended that UK charitable companies do not account for movements in the fair value of financial instruments and assets in a separate reserve, except for in relation to those financial instruments required by the regulation as noted abov</w:t>
      </w:r>
      <w:r w:rsidRPr="0014719E">
        <w:rPr>
          <w:rFonts w:ascii="Arial" w:eastAsia="Arial" w:hAnsi="Arial" w:cs="Arial"/>
          <w:color w:val="4D4D4F"/>
        </w:rPr>
        <w:t>e. UK charitable companies should recognise all other fair value movements in financial instruments and assets through the SoFA, in line with the treatment detailed in the SORP.</w:t>
      </w:r>
    </w:p>
    <w:p w14:paraId="64ACD828" w14:textId="77777777" w:rsidR="00F24EF9" w:rsidRDefault="00F24EF9" w:rsidP="00F24EF9">
      <w:pPr>
        <w:spacing w:after="0" w:line="160" w:lineRule="exact"/>
        <w:rPr>
          <w:sz w:val="16"/>
          <w:szCs w:val="16"/>
        </w:rPr>
      </w:pPr>
    </w:p>
    <w:p w14:paraId="55ED6FB0" w14:textId="77777777" w:rsidR="00F24EF9" w:rsidRDefault="00F24EF9" w:rsidP="00F24EF9">
      <w:pPr>
        <w:spacing w:after="0" w:line="160" w:lineRule="exact"/>
        <w:rPr>
          <w:sz w:val="16"/>
          <w:szCs w:val="16"/>
        </w:rPr>
      </w:pPr>
    </w:p>
    <w:p w14:paraId="10E2A821" w14:textId="77777777" w:rsidR="00F24EF9" w:rsidRPr="003A6AAE" w:rsidRDefault="00F24EF9" w:rsidP="00F24EF9">
      <w:pPr>
        <w:tabs>
          <w:tab w:val="left" w:pos="760"/>
        </w:tabs>
        <w:spacing w:after="0" w:line="240" w:lineRule="auto"/>
        <w:ind w:left="1440" w:right="-20" w:hanging="1303"/>
        <w:rPr>
          <w:rFonts w:ascii="Arial" w:eastAsia="Arial" w:hAnsi="Arial" w:cs="Arial"/>
          <w:color w:val="4D4D4F"/>
        </w:rPr>
      </w:pPr>
    </w:p>
    <w:p w14:paraId="6258B0C2" w14:textId="77777777" w:rsidR="00F24EF9" w:rsidRDefault="00F24EF9" w:rsidP="00F24EF9">
      <w:pPr>
        <w:spacing w:after="0"/>
        <w:sectPr w:rsidR="00F24EF9">
          <w:pgSz w:w="11920" w:h="16840"/>
          <w:pgMar w:top="780" w:right="1340" w:bottom="880" w:left="1280" w:header="547" w:footer="692" w:gutter="0"/>
          <w:cols w:space="720"/>
        </w:sectPr>
      </w:pPr>
    </w:p>
    <w:p w14:paraId="7F81FA35" w14:textId="77777777" w:rsidR="005D370A" w:rsidRDefault="005D370A" w:rsidP="005D370A">
      <w:pPr>
        <w:spacing w:before="7" w:after="0" w:line="140" w:lineRule="exact"/>
        <w:rPr>
          <w:sz w:val="14"/>
          <w:szCs w:val="14"/>
        </w:rPr>
      </w:pPr>
    </w:p>
    <w:p w14:paraId="3868CD7F" w14:textId="77777777" w:rsidR="005D370A" w:rsidRDefault="005D370A" w:rsidP="005D370A">
      <w:pPr>
        <w:spacing w:after="0" w:line="200" w:lineRule="exact"/>
        <w:rPr>
          <w:sz w:val="20"/>
          <w:szCs w:val="20"/>
        </w:rPr>
      </w:pPr>
    </w:p>
    <w:p w14:paraId="27A05FEC" w14:textId="77777777" w:rsidR="005D370A" w:rsidRDefault="005D370A" w:rsidP="005D370A">
      <w:pPr>
        <w:spacing w:after="0" w:line="200" w:lineRule="exact"/>
        <w:rPr>
          <w:sz w:val="20"/>
          <w:szCs w:val="20"/>
        </w:rPr>
      </w:pPr>
    </w:p>
    <w:p w14:paraId="4E8CB1F5" w14:textId="77777777" w:rsidR="005D370A" w:rsidRDefault="005D370A" w:rsidP="005D370A">
      <w:pPr>
        <w:spacing w:before="24" w:after="0" w:line="240" w:lineRule="auto"/>
        <w:ind w:left="137" w:right="-20"/>
        <w:rPr>
          <w:rFonts w:ascii="Arial" w:eastAsia="Arial" w:hAnsi="Arial" w:cs="Arial"/>
          <w:sz w:val="28"/>
          <w:szCs w:val="28"/>
        </w:rPr>
      </w:pPr>
      <w:bookmarkStart w:id="9" w:name="Appendix1"/>
      <w:r>
        <w:rPr>
          <w:rFonts w:ascii="Arial" w:eastAsia="Arial" w:hAnsi="Arial" w:cs="Arial"/>
          <w:color w:val="98C43D"/>
          <w:spacing w:val="-1"/>
          <w:sz w:val="28"/>
          <w:szCs w:val="28"/>
        </w:rPr>
        <w:t>Appendix 1: Glossary of terms</w:t>
      </w:r>
    </w:p>
    <w:bookmarkEnd w:id="9"/>
    <w:p w14:paraId="0693D9F3" w14:textId="77777777" w:rsidR="005D370A" w:rsidRDefault="005D370A" w:rsidP="005D370A">
      <w:pPr>
        <w:spacing w:before="14" w:after="0" w:line="240" w:lineRule="auto"/>
        <w:ind w:right="-20"/>
        <w:rPr>
          <w:sz w:val="26"/>
          <w:szCs w:val="26"/>
        </w:rPr>
      </w:pPr>
      <w:r>
        <w:rPr>
          <w:noProof/>
          <w:lang w:val="en-GB" w:eastAsia="en-GB"/>
        </w:rPr>
        <mc:AlternateContent>
          <mc:Choice Requires="wpg">
            <w:drawing>
              <wp:anchor distT="0" distB="0" distL="114300" distR="114300" simplePos="0" relativeHeight="251679744" behindDoc="1" locked="0" layoutInCell="1" allowOverlap="1" wp14:anchorId="4B7EB0E0" wp14:editId="565467A7">
                <wp:simplePos x="0" y="0"/>
                <wp:positionH relativeFrom="page">
                  <wp:posOffset>887095</wp:posOffset>
                </wp:positionH>
                <wp:positionV relativeFrom="paragraph">
                  <wp:posOffset>37796</wp:posOffset>
                </wp:positionV>
                <wp:extent cx="5760085" cy="1270"/>
                <wp:effectExtent l="0" t="0" r="12065" b="17780"/>
                <wp:wrapNone/>
                <wp:docPr id="5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395"/>
                          <a:chExt cx="9071" cy="2"/>
                        </a:xfrm>
                      </wpg:grpSpPr>
                      <wps:wsp>
                        <wps:cNvPr id="51" name="Freeform 11"/>
                        <wps:cNvSpPr>
                          <a:spLocks/>
                        </wps:cNvSpPr>
                        <wps:spPr bwMode="auto">
                          <a:xfrm>
                            <a:off x="1417" y="39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8D09F" id="Group 10" o:spid="_x0000_s1026" style="position:absolute;margin-left:69.85pt;margin-top:3pt;width:453.55pt;height:.1pt;z-index:-251636736;mso-position-horizontal-relative:page" coordorigin="1417,39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">
                <v:shape id="Freeform 11" o:spid="_x0000_s1027" style="position:absolute;left:1417;top:39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vScYA&#10;AADbAAAADwAAAGRycy9kb3ducmV2LnhtbESPQUvDQBSE7wX/w/IEb+0mhZYSuy2iVjy0hTaKentk&#10;n5to9m3Irkn677uFgsdh5pthluvB1qKj1leOFaSTBARx4XTFRsFbvhkvQPiArLF2TApO5GG9uhkt&#10;MdOu5wN1x2BELGGfoYIyhCaT0hclWfQT1xBH79u1FkOUrZG6xT6W21pOk2QuLVYcF0ps6LGk4vf4&#10;ZxXMzM9neMk/9r3pdvS1naVPz927Une3w8M9iEBD+A9f6VcduRQuX+IPkK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VvSc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p>
    <w:p w14:paraId="711CFFDD" w14:textId="77777777" w:rsidR="005D370A" w:rsidRDefault="005D370A" w:rsidP="005D370A">
      <w:pPr>
        <w:spacing w:after="0" w:line="240" w:lineRule="auto"/>
        <w:ind w:left="137" w:right="-20"/>
        <w:rPr>
          <w:rFonts w:ascii="Arial" w:eastAsia="Arial" w:hAnsi="Arial" w:cs="Arial"/>
          <w:sz w:val="24"/>
          <w:szCs w:val="24"/>
        </w:rPr>
      </w:pPr>
      <w:r>
        <w:rPr>
          <w:rFonts w:ascii="Arial" w:eastAsia="Arial" w:hAnsi="Arial" w:cs="Arial"/>
          <w:b/>
          <w:bCs/>
          <w:color w:val="4D4D4F"/>
          <w:spacing w:val="-3"/>
          <w:sz w:val="24"/>
          <w:szCs w:val="24"/>
        </w:rPr>
        <w:t xml:space="preserve">Topic: </w:t>
      </w:r>
      <w:r>
        <w:rPr>
          <w:rFonts w:ascii="Arial" w:eastAsia="Arial" w:hAnsi="Arial" w:cs="Arial"/>
          <w:b/>
          <w:bCs/>
          <w:i/>
          <w:color w:val="4D4D4F"/>
          <w:spacing w:val="-3"/>
          <w:sz w:val="24"/>
          <w:szCs w:val="24"/>
        </w:rPr>
        <w:t>Disclosure of government grants</w:t>
      </w:r>
    </w:p>
    <w:p w14:paraId="0090B128" w14:textId="77777777" w:rsidR="005D370A" w:rsidRDefault="005D370A" w:rsidP="005D370A">
      <w:pPr>
        <w:spacing w:before="6" w:after="0" w:line="150" w:lineRule="exact"/>
        <w:rPr>
          <w:sz w:val="15"/>
          <w:szCs w:val="15"/>
        </w:rPr>
      </w:pPr>
    </w:p>
    <w:p w14:paraId="49E9065A" w14:textId="77777777" w:rsidR="005D370A" w:rsidRDefault="005D370A" w:rsidP="005D370A">
      <w:pPr>
        <w:tabs>
          <w:tab w:val="left" w:pos="760"/>
        </w:tabs>
        <w:spacing w:after="0" w:line="240" w:lineRule="auto"/>
        <w:ind w:left="137" w:right="-20"/>
        <w:rPr>
          <w:rFonts w:ascii="Arial" w:eastAsia="Arial" w:hAnsi="Arial" w:cs="Arial"/>
        </w:rPr>
      </w:pPr>
      <w:r w:rsidRPr="00C911C6">
        <w:rPr>
          <w:rFonts w:ascii="Arial" w:eastAsia="Arial" w:hAnsi="Arial" w:cs="Arial"/>
          <w:color w:val="4D4D4F"/>
        </w:rPr>
        <w:t xml:space="preserve">The </w:t>
      </w:r>
      <w:r>
        <w:rPr>
          <w:rFonts w:ascii="Arial" w:eastAsia="Arial" w:hAnsi="Arial" w:cs="Arial"/>
          <w:color w:val="4D4D4F"/>
        </w:rPr>
        <w:t xml:space="preserve">glossary </w:t>
      </w:r>
      <w:r w:rsidRPr="005D370A">
        <w:rPr>
          <w:rFonts w:ascii="Arial" w:eastAsia="Arial" w:hAnsi="Arial" w:cs="Arial"/>
          <w:color w:val="4D4D4F"/>
        </w:rPr>
        <w:t>definition of government contained in the SORP refers to ‘government, government agencies and similar bodies whether local, national or international’.</w:t>
      </w:r>
    </w:p>
    <w:p w14:paraId="0BA574BB" w14:textId="77777777" w:rsidR="005D370A" w:rsidRDefault="005D370A" w:rsidP="005D370A">
      <w:pPr>
        <w:spacing w:before="5" w:after="0" w:line="110" w:lineRule="exact"/>
        <w:rPr>
          <w:sz w:val="11"/>
          <w:szCs w:val="11"/>
        </w:rPr>
      </w:pPr>
    </w:p>
    <w:p w14:paraId="657BD431" w14:textId="77777777" w:rsidR="005D370A" w:rsidRDefault="005D370A" w:rsidP="005D370A">
      <w:pPr>
        <w:tabs>
          <w:tab w:val="left" w:pos="760"/>
        </w:tabs>
        <w:spacing w:after="0" w:line="240" w:lineRule="auto"/>
        <w:ind w:left="137" w:right="-20"/>
        <w:rPr>
          <w:rFonts w:ascii="Arial" w:eastAsia="Arial" w:hAnsi="Arial" w:cs="Arial"/>
          <w:color w:val="4D4D4F"/>
        </w:rPr>
      </w:pPr>
      <w:r w:rsidRPr="005D370A">
        <w:rPr>
          <w:rFonts w:ascii="Arial" w:eastAsia="Arial" w:hAnsi="Arial" w:cs="Arial"/>
          <w:color w:val="4D4D4F"/>
        </w:rPr>
        <w:t>On a national level, the definition of government includes government departments, local authorities and Non-Departmental Public Bodies (NDPBs). NDPBs are classified by the Office for National Statistics (ONS) as part of central government and include bodies like the National museums and galleries, Arts Councils, lottery funds, research councils, funding councils and many others. For the UK, these bodies are included in the whole of government accounts (WGA).</w:t>
      </w:r>
    </w:p>
    <w:p w14:paraId="5A8846B9" w14:textId="77777777" w:rsidR="00153B75" w:rsidRDefault="00153B75" w:rsidP="00153B75">
      <w:pPr>
        <w:spacing w:before="6" w:after="0" w:line="150" w:lineRule="exact"/>
        <w:rPr>
          <w:sz w:val="15"/>
          <w:szCs w:val="15"/>
        </w:rPr>
      </w:pPr>
    </w:p>
    <w:p w14:paraId="390E08C4" w14:textId="77777777" w:rsidR="00153B75" w:rsidRDefault="00153B75" w:rsidP="00153B75">
      <w:pPr>
        <w:tabs>
          <w:tab w:val="left" w:pos="760"/>
        </w:tabs>
        <w:spacing w:after="0" w:line="240" w:lineRule="auto"/>
        <w:ind w:left="137" w:right="-20"/>
        <w:rPr>
          <w:rFonts w:ascii="Arial" w:eastAsia="Arial" w:hAnsi="Arial" w:cs="Arial"/>
        </w:rPr>
      </w:pPr>
      <w:r w:rsidRPr="00153B75">
        <w:rPr>
          <w:rFonts w:ascii="Arial" w:eastAsia="Arial" w:hAnsi="Arial" w:cs="Arial"/>
          <w:color w:val="4D4D4F"/>
        </w:rPr>
        <w:t>Preparers may wish to refer to the following websites when identifying which grants are paid by ‘government’ and fall to be disclosed under paragraph 5.58 of the SORP:</w:t>
      </w:r>
    </w:p>
    <w:p w14:paraId="6A730DB5" w14:textId="77777777" w:rsidR="00153B75" w:rsidRDefault="00153B75" w:rsidP="00153B75">
      <w:pPr>
        <w:spacing w:before="5" w:after="0" w:line="110" w:lineRule="exact"/>
        <w:rPr>
          <w:sz w:val="11"/>
          <w:szCs w:val="11"/>
        </w:rPr>
      </w:pPr>
    </w:p>
    <w:p w14:paraId="5AE1D608" w14:textId="77777777" w:rsidR="00153B75" w:rsidRDefault="00153B75" w:rsidP="00153B75">
      <w:pPr>
        <w:tabs>
          <w:tab w:val="left" w:pos="1240"/>
        </w:tabs>
        <w:spacing w:after="0" w:line="240" w:lineRule="auto"/>
        <w:ind w:left="911" w:right="-20"/>
        <w:rPr>
          <w:rFonts w:ascii="Arial" w:eastAsia="Arial" w:hAnsi="Arial" w:cs="Arial"/>
          <w:color w:val="4C4D4F"/>
        </w:rPr>
      </w:pPr>
      <w:r>
        <w:rPr>
          <w:rFonts w:ascii="Arial" w:eastAsia="Arial" w:hAnsi="Arial" w:cs="Arial"/>
          <w:color w:val="A7CA56"/>
        </w:rPr>
        <w:t>•</w:t>
      </w:r>
      <w:r>
        <w:rPr>
          <w:rFonts w:ascii="Arial" w:eastAsia="Arial" w:hAnsi="Arial" w:cs="Arial"/>
          <w:color w:val="A7CA56"/>
        </w:rPr>
        <w:tab/>
      </w:r>
      <w:r w:rsidRPr="00153B75">
        <w:rPr>
          <w:rFonts w:ascii="Arial" w:eastAsia="Arial" w:hAnsi="Arial" w:cs="Arial"/>
          <w:color w:val="4C4D4F"/>
        </w:rPr>
        <w:t>The definition o</w:t>
      </w:r>
      <w:r w:rsidR="006F39F5">
        <w:rPr>
          <w:rFonts w:ascii="Arial" w:eastAsia="Arial" w:hAnsi="Arial" w:cs="Arial"/>
          <w:color w:val="4C4D4F"/>
        </w:rPr>
        <w:t>f government published on the .g</w:t>
      </w:r>
      <w:r w:rsidRPr="00153B75">
        <w:rPr>
          <w:rFonts w:ascii="Arial" w:eastAsia="Arial" w:hAnsi="Arial" w:cs="Arial"/>
          <w:color w:val="4C4D4F"/>
        </w:rPr>
        <w:t>ov website:</w:t>
      </w:r>
    </w:p>
    <w:p w14:paraId="24DCE5B9" w14:textId="77777777" w:rsidR="00153B75" w:rsidRPr="00153B75" w:rsidRDefault="00153B75" w:rsidP="00153B75">
      <w:pPr>
        <w:ind w:left="720"/>
        <w:rPr>
          <w:rFonts w:ascii="Arial" w:eastAsia="Calibri" w:hAnsi="Arial" w:cs="Arial"/>
          <w:color w:val="0563C1"/>
          <w:u w:val="single"/>
          <w:lang w:val="en-GB"/>
        </w:rPr>
      </w:pPr>
      <w:r w:rsidRPr="00153B75">
        <w:rPr>
          <w:rFonts w:ascii="Arial" w:eastAsia="Arial" w:hAnsi="Arial" w:cs="Arial"/>
          <w:color w:val="A7CA56"/>
        </w:rPr>
        <w:tab/>
      </w:r>
      <w:hyperlink r:id="rId17" w:history="1">
        <w:r w:rsidRPr="00153B75">
          <w:rPr>
            <w:rFonts w:ascii="Arial" w:eastAsia="Calibri" w:hAnsi="Arial" w:cs="Arial"/>
            <w:color w:val="0563C1"/>
            <w:u w:val="single"/>
            <w:lang w:val="en-GB"/>
          </w:rPr>
          <w:t>https://www.gov.uk/government/organisations</w:t>
        </w:r>
      </w:hyperlink>
    </w:p>
    <w:p w14:paraId="4965A480" w14:textId="77777777" w:rsidR="00153B75" w:rsidRDefault="00153B75" w:rsidP="00153B75">
      <w:pPr>
        <w:tabs>
          <w:tab w:val="left" w:pos="1240"/>
        </w:tabs>
        <w:spacing w:after="0" w:line="240" w:lineRule="auto"/>
        <w:ind w:left="911" w:right="-20"/>
        <w:rPr>
          <w:rFonts w:ascii="Arial" w:eastAsia="Arial" w:hAnsi="Arial" w:cs="Arial"/>
          <w:color w:val="4C4D4F"/>
        </w:rPr>
      </w:pPr>
      <w:r>
        <w:rPr>
          <w:rFonts w:ascii="Arial" w:eastAsia="Arial" w:hAnsi="Arial" w:cs="Arial"/>
          <w:color w:val="A7CA56"/>
        </w:rPr>
        <w:t>•</w:t>
      </w:r>
      <w:r>
        <w:rPr>
          <w:rFonts w:ascii="Arial" w:eastAsia="Arial" w:hAnsi="Arial" w:cs="Arial"/>
          <w:color w:val="A7CA56"/>
        </w:rPr>
        <w:tab/>
      </w:r>
      <w:r w:rsidRPr="00153B75">
        <w:rPr>
          <w:rFonts w:ascii="Arial" w:eastAsia="Arial" w:hAnsi="Arial" w:cs="Arial"/>
          <w:color w:val="4C4D4F"/>
        </w:rPr>
        <w:t>The list of entities included in the WGA:</w:t>
      </w:r>
    </w:p>
    <w:p w14:paraId="5B64A87A" w14:textId="77777777" w:rsidR="00153B75" w:rsidRPr="005B6A45" w:rsidRDefault="001521D2" w:rsidP="00153B75">
      <w:pPr>
        <w:ind w:left="1440"/>
        <w:rPr>
          <w:rStyle w:val="Hyperlink"/>
          <w:rFonts w:ascii="Arial" w:hAnsi="Arial" w:cs="Arial"/>
        </w:rPr>
      </w:pPr>
      <w:hyperlink r:id="rId18" w:history="1">
        <w:r w:rsidR="005B6A45" w:rsidRPr="005B6A45">
          <w:rPr>
            <w:rFonts w:ascii="Arial" w:eastAsia="Calibri" w:hAnsi="Arial" w:cs="Arial"/>
            <w:color w:val="0563C1"/>
            <w:u w:val="single"/>
            <w:lang w:val="en-GB"/>
          </w:rPr>
          <w:t>https://www.gov.uk/government/uploads/system/uploads/attachment_data/file/539960/2015-16_WGA_CPID_List.xlsx</w:t>
        </w:r>
      </w:hyperlink>
    </w:p>
    <w:p w14:paraId="3FA03254" w14:textId="77777777" w:rsidR="005B6A45" w:rsidRDefault="005B6A45" w:rsidP="005B6A45">
      <w:pPr>
        <w:tabs>
          <w:tab w:val="left" w:pos="1240"/>
        </w:tabs>
        <w:spacing w:after="0" w:line="240" w:lineRule="auto"/>
        <w:ind w:left="911" w:right="-20"/>
        <w:rPr>
          <w:rFonts w:ascii="Arial" w:eastAsia="Arial" w:hAnsi="Arial" w:cs="Arial"/>
          <w:color w:val="4C4D4F"/>
        </w:rPr>
      </w:pPr>
      <w:r>
        <w:rPr>
          <w:rFonts w:ascii="Arial" w:eastAsia="Arial" w:hAnsi="Arial" w:cs="Arial"/>
          <w:color w:val="A7CA56"/>
        </w:rPr>
        <w:t>•</w:t>
      </w:r>
      <w:r>
        <w:rPr>
          <w:rFonts w:ascii="Arial" w:eastAsia="Arial" w:hAnsi="Arial" w:cs="Arial"/>
          <w:color w:val="A7CA56"/>
        </w:rPr>
        <w:tab/>
      </w:r>
      <w:r w:rsidRPr="005B6A45">
        <w:rPr>
          <w:rFonts w:ascii="Arial" w:eastAsia="Arial" w:hAnsi="Arial" w:cs="Arial"/>
          <w:color w:val="4C4D4F"/>
        </w:rPr>
        <w:t>The list of Welsh Government Sponsored Bodies (WGSBs):</w:t>
      </w:r>
    </w:p>
    <w:p w14:paraId="7FB78A77" w14:textId="77777777" w:rsidR="005B6A45" w:rsidRPr="00153B75" w:rsidRDefault="005B6A45" w:rsidP="005B6A45">
      <w:pPr>
        <w:ind w:left="1440"/>
        <w:rPr>
          <w:rFonts w:ascii="Arial" w:eastAsia="Calibri" w:hAnsi="Arial" w:cs="Arial"/>
          <w:color w:val="0563C1"/>
          <w:u w:val="single"/>
          <w:lang w:val="en-GB"/>
        </w:rPr>
      </w:pPr>
      <w:r w:rsidRPr="005B6A45">
        <w:rPr>
          <w:rFonts w:ascii="Arial" w:eastAsia="Calibri" w:hAnsi="Arial" w:cs="Arial"/>
          <w:color w:val="0563C1"/>
          <w:u w:val="single"/>
          <w:lang w:val="en-GB"/>
        </w:rPr>
        <w:t>http://wales.gov.uk/docs/caecd/publications/140312sponsoredbodiesen.doc?lang=en</w:t>
      </w:r>
    </w:p>
    <w:p w14:paraId="3F480226" w14:textId="77777777" w:rsidR="00153B75" w:rsidRDefault="00153B75" w:rsidP="00153B75">
      <w:pPr>
        <w:tabs>
          <w:tab w:val="left" w:pos="1240"/>
        </w:tabs>
        <w:spacing w:after="0" w:line="240" w:lineRule="auto"/>
        <w:ind w:left="911" w:right="-20"/>
        <w:rPr>
          <w:rFonts w:ascii="Arial" w:eastAsia="Arial" w:hAnsi="Arial" w:cs="Arial"/>
          <w:color w:val="4C4D4F"/>
        </w:rPr>
      </w:pPr>
      <w:r>
        <w:rPr>
          <w:rFonts w:ascii="Arial" w:eastAsia="Arial" w:hAnsi="Arial" w:cs="Arial"/>
          <w:color w:val="A7CA56"/>
        </w:rPr>
        <w:t>•</w:t>
      </w:r>
      <w:r>
        <w:rPr>
          <w:rFonts w:ascii="Arial" w:eastAsia="Arial" w:hAnsi="Arial" w:cs="Arial"/>
          <w:color w:val="A7CA56"/>
        </w:rPr>
        <w:tab/>
      </w:r>
      <w:r w:rsidR="005B6A45" w:rsidRPr="005B6A45">
        <w:rPr>
          <w:rFonts w:ascii="Arial" w:eastAsia="Arial" w:hAnsi="Arial" w:cs="Arial"/>
          <w:color w:val="4C4D4F"/>
        </w:rPr>
        <w:t>The National Public Bodies Directory for Scotland:</w:t>
      </w:r>
    </w:p>
    <w:p w14:paraId="48873CA7" w14:textId="77777777" w:rsidR="00153B75" w:rsidRPr="00153B75" w:rsidRDefault="005B6A45" w:rsidP="005B6A45">
      <w:pPr>
        <w:ind w:left="1440"/>
        <w:rPr>
          <w:rFonts w:ascii="Arial" w:eastAsia="Calibri" w:hAnsi="Arial" w:cs="Arial"/>
          <w:color w:val="0563C1"/>
          <w:u w:val="single"/>
          <w:lang w:val="en-GB"/>
        </w:rPr>
      </w:pPr>
      <w:r w:rsidRPr="005B6A45">
        <w:rPr>
          <w:rFonts w:ascii="Arial" w:eastAsia="Calibri" w:hAnsi="Arial" w:cs="Arial"/>
          <w:color w:val="0563C1"/>
          <w:u w:val="single"/>
          <w:lang w:val="en-GB"/>
        </w:rPr>
        <w:t>http://www.gov.scot/Topics/Government/public-bodies/about/Bodies</w:t>
      </w:r>
    </w:p>
    <w:p w14:paraId="072EAC23" w14:textId="77777777" w:rsidR="00153B75" w:rsidRDefault="00153B75" w:rsidP="00153B75">
      <w:pPr>
        <w:tabs>
          <w:tab w:val="left" w:pos="1240"/>
        </w:tabs>
        <w:spacing w:after="0" w:line="240" w:lineRule="auto"/>
        <w:ind w:left="911" w:right="-20"/>
        <w:rPr>
          <w:rFonts w:ascii="Arial" w:eastAsia="Arial" w:hAnsi="Arial" w:cs="Arial"/>
          <w:color w:val="4C4D4F"/>
        </w:rPr>
      </w:pPr>
      <w:r>
        <w:rPr>
          <w:rFonts w:ascii="Arial" w:eastAsia="Arial" w:hAnsi="Arial" w:cs="Arial"/>
          <w:color w:val="A7CA56"/>
        </w:rPr>
        <w:t>•</w:t>
      </w:r>
      <w:r>
        <w:rPr>
          <w:rFonts w:ascii="Arial" w:eastAsia="Arial" w:hAnsi="Arial" w:cs="Arial"/>
          <w:color w:val="A7CA56"/>
        </w:rPr>
        <w:tab/>
      </w:r>
      <w:r w:rsidRPr="00153B75">
        <w:rPr>
          <w:rFonts w:ascii="Arial" w:eastAsia="Arial" w:hAnsi="Arial" w:cs="Arial"/>
          <w:color w:val="4C4D4F"/>
        </w:rPr>
        <w:t xml:space="preserve">The </w:t>
      </w:r>
      <w:r w:rsidR="005B6A45">
        <w:rPr>
          <w:rFonts w:ascii="Arial" w:eastAsia="Arial" w:hAnsi="Arial" w:cs="Arial"/>
          <w:color w:val="4C4D4F"/>
        </w:rPr>
        <w:t xml:space="preserve">list of </w:t>
      </w:r>
      <w:r w:rsidR="005B6A45" w:rsidRPr="005B6A45">
        <w:rPr>
          <w:rFonts w:ascii="Arial" w:eastAsia="Arial" w:hAnsi="Arial" w:cs="Arial"/>
          <w:color w:val="4C4D4F"/>
        </w:rPr>
        <w:t xml:space="preserve">Public Service bodies in the Republic of </w:t>
      </w:r>
      <w:r w:rsidR="005B6A45">
        <w:rPr>
          <w:rFonts w:ascii="Arial" w:eastAsia="Arial" w:hAnsi="Arial" w:cs="Arial"/>
          <w:color w:val="4C4D4F"/>
        </w:rPr>
        <w:t>Ireland</w:t>
      </w:r>
      <w:r w:rsidRPr="00153B75">
        <w:rPr>
          <w:rFonts w:ascii="Arial" w:eastAsia="Arial" w:hAnsi="Arial" w:cs="Arial"/>
          <w:color w:val="4C4D4F"/>
        </w:rPr>
        <w:t>:</w:t>
      </w:r>
    </w:p>
    <w:p w14:paraId="248E698C" w14:textId="77777777" w:rsidR="00153B75" w:rsidRPr="005B6A45" w:rsidRDefault="001521D2" w:rsidP="005B6A45">
      <w:pPr>
        <w:ind w:left="1440"/>
        <w:rPr>
          <w:rFonts w:ascii="Arial" w:eastAsia="Calibri" w:hAnsi="Arial" w:cs="Arial"/>
          <w:color w:val="0563C1"/>
          <w:u w:val="single"/>
          <w:lang w:val="en-GB"/>
        </w:rPr>
      </w:pPr>
      <w:hyperlink r:id="rId19" w:history="1">
        <w:r w:rsidR="005B6A45" w:rsidRPr="005B6A45">
          <w:rPr>
            <w:rFonts w:ascii="Arial" w:hAnsi="Arial" w:cs="Arial"/>
            <w:color w:val="0563C1"/>
            <w:u w:val="single"/>
            <w:lang w:val="en-GB"/>
          </w:rPr>
          <w:t>https://www.lobbying.ie/help-resources/information-for-public-bodies/list-of-public-service-bodies/</w:t>
        </w:r>
      </w:hyperlink>
    </w:p>
    <w:p w14:paraId="0673E77F" w14:textId="77777777" w:rsidR="005B6A45" w:rsidRDefault="005B6A45" w:rsidP="005B6A45">
      <w:pPr>
        <w:tabs>
          <w:tab w:val="left" w:pos="760"/>
        </w:tabs>
        <w:spacing w:after="0" w:line="240" w:lineRule="auto"/>
        <w:ind w:left="137" w:right="-20"/>
        <w:rPr>
          <w:rFonts w:ascii="Arial" w:eastAsia="Arial" w:hAnsi="Arial" w:cs="Arial"/>
          <w:color w:val="4D4D4F"/>
        </w:rPr>
      </w:pPr>
    </w:p>
    <w:p w14:paraId="27849921" w14:textId="77777777" w:rsidR="005B6A45" w:rsidRDefault="005B6A45" w:rsidP="005B6A45">
      <w:pPr>
        <w:spacing w:before="14" w:after="0" w:line="240" w:lineRule="auto"/>
        <w:ind w:right="-20"/>
        <w:rPr>
          <w:sz w:val="26"/>
          <w:szCs w:val="26"/>
        </w:rPr>
      </w:pPr>
    </w:p>
    <w:p w14:paraId="24F33DFD" w14:textId="77777777" w:rsidR="005B6A45" w:rsidRDefault="005B6A45" w:rsidP="005B6A45">
      <w:pPr>
        <w:spacing w:after="0" w:line="240" w:lineRule="auto"/>
        <w:ind w:left="137" w:right="-20"/>
        <w:rPr>
          <w:rFonts w:ascii="Arial" w:eastAsia="Arial" w:hAnsi="Arial" w:cs="Arial"/>
          <w:sz w:val="24"/>
          <w:szCs w:val="24"/>
        </w:rPr>
      </w:pPr>
      <w:r>
        <w:rPr>
          <w:rFonts w:ascii="Arial" w:eastAsia="Arial" w:hAnsi="Arial" w:cs="Arial"/>
          <w:b/>
          <w:bCs/>
          <w:color w:val="4D4D4F"/>
          <w:spacing w:val="-3"/>
          <w:sz w:val="24"/>
          <w:szCs w:val="24"/>
        </w:rPr>
        <w:t xml:space="preserve">Topic: </w:t>
      </w:r>
      <w:r>
        <w:rPr>
          <w:rFonts w:ascii="Arial" w:eastAsia="Arial" w:hAnsi="Arial" w:cs="Arial"/>
          <w:b/>
          <w:bCs/>
          <w:i/>
          <w:color w:val="4D4D4F"/>
          <w:spacing w:val="-3"/>
          <w:sz w:val="24"/>
          <w:szCs w:val="24"/>
        </w:rPr>
        <w:t>Definition of a larger charity</w:t>
      </w:r>
    </w:p>
    <w:p w14:paraId="229DD2D3" w14:textId="77777777" w:rsidR="005B6A45" w:rsidRDefault="005B6A45" w:rsidP="005B6A45">
      <w:pPr>
        <w:spacing w:before="6" w:after="0" w:line="150" w:lineRule="exact"/>
        <w:rPr>
          <w:sz w:val="15"/>
          <w:szCs w:val="15"/>
        </w:rPr>
      </w:pPr>
    </w:p>
    <w:p w14:paraId="1BADC02C" w14:textId="76997280" w:rsidR="005B6A45" w:rsidRDefault="005B6A45" w:rsidP="005B6A45">
      <w:pPr>
        <w:tabs>
          <w:tab w:val="left" w:pos="760"/>
        </w:tabs>
        <w:spacing w:after="0" w:line="240" w:lineRule="auto"/>
        <w:ind w:left="137" w:right="-20"/>
        <w:rPr>
          <w:rFonts w:ascii="Arial" w:eastAsia="Arial" w:hAnsi="Arial" w:cs="Arial"/>
        </w:rPr>
      </w:pPr>
      <w:r w:rsidRPr="005B6A45">
        <w:rPr>
          <w:rFonts w:ascii="Arial" w:eastAsia="Arial" w:hAnsi="Arial" w:cs="Arial"/>
          <w:color w:val="4D4D4F"/>
        </w:rPr>
        <w:t>Update Bulletin 1 amended the glossary definition of a larger charity used by the SORP to identify those charities with a gross income exce</w:t>
      </w:r>
      <w:r w:rsidR="00DA23A4">
        <w:rPr>
          <w:rFonts w:ascii="Arial" w:eastAsia="Arial" w:hAnsi="Arial" w:cs="Arial"/>
          <w:color w:val="4D4D4F"/>
        </w:rPr>
        <w:t>eding £500,000 (UK) or 500,000 e</w:t>
      </w:r>
      <w:r w:rsidRPr="005B6A45">
        <w:rPr>
          <w:rFonts w:ascii="Arial" w:eastAsia="Arial" w:hAnsi="Arial" w:cs="Arial"/>
          <w:color w:val="4D4D4F"/>
        </w:rPr>
        <w:t xml:space="preserve">uros (Republic of Ireland) in the reporting period. At issue the income criterion for audit in July 2014 for Scotland and England and Wales was £500,000 and the drafting intention has always been to have a common definition within the SORP regarding disclosure whether in the trustees’ annual report or the accounts. Consequently the preparer, when applying Update Bulletin 1, </w:t>
      </w:r>
      <w:r w:rsidR="00BF5ECB">
        <w:rPr>
          <w:rFonts w:ascii="Arial" w:eastAsia="Arial" w:hAnsi="Arial" w:cs="Arial"/>
          <w:color w:val="4D4D4F"/>
        </w:rPr>
        <w:t xml:space="preserve">should </w:t>
      </w:r>
      <w:r w:rsidRPr="005B6A45">
        <w:rPr>
          <w:rFonts w:ascii="Arial" w:eastAsia="Arial" w:hAnsi="Arial" w:cs="Arial"/>
          <w:color w:val="4D4D4F"/>
        </w:rPr>
        <w:t>substitute the new definition of ‘larger charity’ in place of a reference to statutory audit throughout the SORP.</w:t>
      </w:r>
    </w:p>
    <w:p w14:paraId="73B21174" w14:textId="77777777" w:rsidR="005B6A45" w:rsidRDefault="005B6A45" w:rsidP="005B6A45">
      <w:pPr>
        <w:spacing w:after="0" w:line="160" w:lineRule="exact"/>
        <w:rPr>
          <w:sz w:val="16"/>
          <w:szCs w:val="16"/>
        </w:rPr>
      </w:pPr>
    </w:p>
    <w:p w14:paraId="11547532" w14:textId="77777777" w:rsidR="005B6A45" w:rsidRPr="003A6AAE" w:rsidRDefault="005B6A45" w:rsidP="005B6A45">
      <w:pPr>
        <w:tabs>
          <w:tab w:val="left" w:pos="760"/>
        </w:tabs>
        <w:spacing w:after="0" w:line="240" w:lineRule="auto"/>
        <w:ind w:left="1440" w:right="-20" w:hanging="1303"/>
        <w:rPr>
          <w:rFonts w:ascii="Arial" w:eastAsia="Arial" w:hAnsi="Arial" w:cs="Arial"/>
          <w:color w:val="4D4D4F"/>
        </w:rPr>
      </w:pPr>
    </w:p>
    <w:p w14:paraId="7020C1EC" w14:textId="77777777" w:rsidR="005B6A45" w:rsidRDefault="005B6A45" w:rsidP="005B6A45">
      <w:pPr>
        <w:spacing w:after="0"/>
        <w:sectPr w:rsidR="005B6A45">
          <w:pgSz w:w="11920" w:h="16840"/>
          <w:pgMar w:top="780" w:right="1340" w:bottom="880" w:left="1280" w:header="547" w:footer="692" w:gutter="0"/>
          <w:cols w:space="720"/>
        </w:sectPr>
      </w:pPr>
    </w:p>
    <w:p w14:paraId="33BC74DE" w14:textId="77777777" w:rsidR="005B6A45" w:rsidRDefault="005B6A45" w:rsidP="005B6A45">
      <w:pPr>
        <w:spacing w:before="7" w:after="0" w:line="140" w:lineRule="exact"/>
        <w:rPr>
          <w:sz w:val="14"/>
          <w:szCs w:val="14"/>
        </w:rPr>
      </w:pPr>
    </w:p>
    <w:p w14:paraId="5FDC457C" w14:textId="77777777" w:rsidR="005B6A45" w:rsidRDefault="005B6A45" w:rsidP="005B6A45">
      <w:pPr>
        <w:spacing w:after="0" w:line="200" w:lineRule="exact"/>
        <w:rPr>
          <w:sz w:val="20"/>
          <w:szCs w:val="20"/>
        </w:rPr>
      </w:pPr>
    </w:p>
    <w:p w14:paraId="206281E9" w14:textId="77777777" w:rsidR="005B6A45" w:rsidRDefault="005B6A45" w:rsidP="005B6A45">
      <w:pPr>
        <w:spacing w:after="0" w:line="200" w:lineRule="exact"/>
        <w:rPr>
          <w:sz w:val="20"/>
          <w:szCs w:val="20"/>
        </w:rPr>
      </w:pPr>
    </w:p>
    <w:p w14:paraId="7E1E95A4" w14:textId="77777777" w:rsidR="005B6A45" w:rsidRDefault="005B6A45" w:rsidP="005B6A45">
      <w:pPr>
        <w:spacing w:before="24" w:after="0" w:line="240" w:lineRule="auto"/>
        <w:ind w:left="137" w:right="-20"/>
        <w:rPr>
          <w:rFonts w:ascii="Arial" w:eastAsia="Arial" w:hAnsi="Arial" w:cs="Arial"/>
          <w:sz w:val="28"/>
          <w:szCs w:val="28"/>
        </w:rPr>
      </w:pPr>
      <w:bookmarkStart w:id="10" w:name="Appendix3"/>
      <w:r>
        <w:rPr>
          <w:rFonts w:ascii="Arial" w:eastAsia="Arial" w:hAnsi="Arial" w:cs="Arial"/>
          <w:color w:val="98C43D"/>
          <w:spacing w:val="-1"/>
          <w:sz w:val="28"/>
          <w:szCs w:val="28"/>
        </w:rPr>
        <w:t xml:space="preserve">Appendix 3: </w:t>
      </w:r>
      <w:r w:rsidRPr="005B6A45">
        <w:rPr>
          <w:rFonts w:ascii="Arial" w:eastAsia="Arial" w:hAnsi="Arial" w:cs="Arial"/>
          <w:color w:val="98C43D"/>
          <w:spacing w:val="-1"/>
          <w:sz w:val="28"/>
          <w:szCs w:val="28"/>
        </w:rPr>
        <w:t>Thresholds for the UK and the Republic</w:t>
      </w:r>
      <w:r>
        <w:rPr>
          <w:rFonts w:ascii="Arial" w:eastAsia="Arial" w:hAnsi="Arial" w:cs="Arial"/>
          <w:color w:val="98C43D"/>
          <w:spacing w:val="-1"/>
          <w:sz w:val="28"/>
          <w:szCs w:val="28"/>
        </w:rPr>
        <w:t xml:space="preserve"> </w:t>
      </w:r>
      <w:r w:rsidRPr="005B6A45">
        <w:rPr>
          <w:rFonts w:ascii="Arial" w:eastAsia="Arial" w:hAnsi="Arial" w:cs="Arial"/>
          <w:color w:val="98C43D"/>
          <w:spacing w:val="-1"/>
          <w:sz w:val="28"/>
          <w:szCs w:val="28"/>
        </w:rPr>
        <w:t>of Ireland</w:t>
      </w:r>
    </w:p>
    <w:bookmarkEnd w:id="10"/>
    <w:p w14:paraId="765FB826" w14:textId="77777777" w:rsidR="005B6A45" w:rsidRDefault="005B6A45" w:rsidP="005B6A45">
      <w:pPr>
        <w:spacing w:before="14" w:after="0" w:line="240" w:lineRule="auto"/>
        <w:ind w:right="-20"/>
        <w:rPr>
          <w:sz w:val="26"/>
          <w:szCs w:val="26"/>
        </w:rPr>
      </w:pPr>
      <w:r>
        <w:rPr>
          <w:noProof/>
          <w:lang w:val="en-GB" w:eastAsia="en-GB"/>
        </w:rPr>
        <mc:AlternateContent>
          <mc:Choice Requires="wpg">
            <w:drawing>
              <wp:anchor distT="0" distB="0" distL="114300" distR="114300" simplePos="0" relativeHeight="251681792" behindDoc="1" locked="0" layoutInCell="1" allowOverlap="1" wp14:anchorId="7F19492E" wp14:editId="08196FE9">
                <wp:simplePos x="0" y="0"/>
                <wp:positionH relativeFrom="page">
                  <wp:posOffset>887095</wp:posOffset>
                </wp:positionH>
                <wp:positionV relativeFrom="paragraph">
                  <wp:posOffset>37796</wp:posOffset>
                </wp:positionV>
                <wp:extent cx="5760085" cy="1270"/>
                <wp:effectExtent l="0" t="0" r="12065" b="17780"/>
                <wp:wrapNone/>
                <wp:docPr id="5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395"/>
                          <a:chExt cx="9071" cy="2"/>
                        </a:xfrm>
                      </wpg:grpSpPr>
                      <wps:wsp>
                        <wps:cNvPr id="53" name="Freeform 11"/>
                        <wps:cNvSpPr>
                          <a:spLocks/>
                        </wps:cNvSpPr>
                        <wps:spPr bwMode="auto">
                          <a:xfrm>
                            <a:off x="1417" y="39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2F395" id="Group 10" o:spid="_x0000_s1026" style="position:absolute;margin-left:69.85pt;margin-top:3pt;width:453.55pt;height:.1pt;z-index:-251634688;mso-position-horizontal-relative:page" coordorigin="1417,39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">
                <v:shape id="Freeform 11" o:spid="_x0000_s1027" style="position:absolute;left:1417;top:39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UpcYA&#10;AADbAAAADwAAAGRycy9kb3ducmV2LnhtbESPT0vDQBTE74LfYXmCN7uJUilpt0G0lR5qof9Qb4/s&#10;cxPNvg3ZNUm/fVcQehxmfjPMLB9sLTpqfeVYQTpKQBAXTldsFBz2y7sJCB+QNdaOScGJPOTz66sZ&#10;Ztr1vKVuF4yIJewzVFCG0GRS+qIki37kGuLofbnWYoiyNVK32MdyW8v7JHmUFiuOCyU29FxS8bP7&#10;tQrG5vsjvO7fN73p3uhzPU5fFt1Rqdub4WkKItAQLuF/eqUj9wB/X+IPkP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tUpc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p>
    <w:p w14:paraId="51288882" w14:textId="77777777" w:rsidR="005B6A45" w:rsidRPr="000A6E3E" w:rsidRDefault="005B6A45" w:rsidP="005B6A45">
      <w:pPr>
        <w:spacing w:after="0" w:line="240" w:lineRule="auto"/>
        <w:ind w:left="137" w:right="-20"/>
        <w:rPr>
          <w:rFonts w:ascii="Arial" w:eastAsia="Arial" w:hAnsi="Arial" w:cs="Arial"/>
          <w:sz w:val="24"/>
          <w:szCs w:val="24"/>
        </w:rPr>
      </w:pPr>
      <w:r>
        <w:rPr>
          <w:rFonts w:ascii="Arial" w:eastAsia="Arial" w:hAnsi="Arial" w:cs="Arial"/>
          <w:b/>
          <w:bCs/>
          <w:color w:val="4D4D4F"/>
          <w:spacing w:val="-3"/>
          <w:sz w:val="24"/>
          <w:szCs w:val="24"/>
        </w:rPr>
        <w:t xml:space="preserve">Topic: </w:t>
      </w:r>
      <w:r w:rsidRPr="005B6A45">
        <w:rPr>
          <w:rFonts w:ascii="Arial" w:eastAsia="Arial" w:hAnsi="Arial" w:cs="Arial"/>
          <w:b/>
          <w:bCs/>
          <w:i/>
          <w:color w:val="4D4D4F"/>
          <w:spacing w:val="-3"/>
          <w:sz w:val="24"/>
          <w:szCs w:val="24"/>
        </w:rPr>
        <w:t xml:space="preserve">Thresholds for charities reporting in the Northern Ireland under the Charities (Accounts and Reports) Regulations (Northern Ireland) 2015 and the Charities Act 2008 (Substitution of Sums) Order (Northern Ireland) 2015 </w:t>
      </w:r>
      <w:r w:rsidRPr="000A6E3E">
        <w:rPr>
          <w:rFonts w:ascii="Arial" w:eastAsia="Arial" w:hAnsi="Arial" w:cs="Arial"/>
          <w:b/>
          <w:bCs/>
          <w:color w:val="4D4D4F"/>
          <w:spacing w:val="-3"/>
          <w:sz w:val="24"/>
          <w:szCs w:val="24"/>
        </w:rPr>
        <w:t>– Northern Ireland only</w:t>
      </w:r>
    </w:p>
    <w:p w14:paraId="1B09C310" w14:textId="77777777" w:rsidR="005B6A45" w:rsidRDefault="005B6A45" w:rsidP="005B6A45">
      <w:pPr>
        <w:spacing w:before="6" w:after="0" w:line="150" w:lineRule="exact"/>
        <w:rPr>
          <w:sz w:val="15"/>
          <w:szCs w:val="15"/>
        </w:rPr>
      </w:pPr>
    </w:p>
    <w:p w14:paraId="608CFC80" w14:textId="77777777" w:rsidR="005B6A45" w:rsidRDefault="005B6A45" w:rsidP="005B6A45">
      <w:pPr>
        <w:tabs>
          <w:tab w:val="left" w:pos="760"/>
        </w:tabs>
        <w:spacing w:after="0" w:line="240" w:lineRule="auto"/>
        <w:ind w:left="137" w:right="-20"/>
        <w:rPr>
          <w:rFonts w:ascii="Arial" w:eastAsia="Arial" w:hAnsi="Arial" w:cs="Arial"/>
        </w:rPr>
      </w:pPr>
      <w:r w:rsidRPr="005B6A45">
        <w:rPr>
          <w:rFonts w:ascii="Arial" w:eastAsia="Arial" w:hAnsi="Arial" w:cs="Arial"/>
          <w:color w:val="4D4D4F"/>
        </w:rPr>
        <w:t>Charities registered in Northern Ireland must prepare accounts and be subject to external scrutiny under the Charities Act (NI) 2008, the Charities Act 2008 (Substitution of Sums) Order (NI) 2015 and the Charities (Accounts and Reports) Regulations (NI) 2015.</w:t>
      </w:r>
    </w:p>
    <w:p w14:paraId="1BBFA37A" w14:textId="77777777" w:rsidR="005B6A45" w:rsidRDefault="005B6A45" w:rsidP="005B6A45">
      <w:pPr>
        <w:spacing w:before="5" w:after="0" w:line="110" w:lineRule="exact"/>
        <w:rPr>
          <w:sz w:val="11"/>
          <w:szCs w:val="11"/>
        </w:rPr>
      </w:pPr>
    </w:p>
    <w:p w14:paraId="21EF4528" w14:textId="77777777" w:rsidR="005B6A45" w:rsidRDefault="005B6A45" w:rsidP="005B6A45">
      <w:pPr>
        <w:tabs>
          <w:tab w:val="left" w:pos="760"/>
        </w:tabs>
        <w:spacing w:after="0" w:line="240" w:lineRule="auto"/>
        <w:ind w:left="137" w:right="-20"/>
        <w:rPr>
          <w:rFonts w:ascii="Arial" w:eastAsia="Arial" w:hAnsi="Arial" w:cs="Arial"/>
          <w:color w:val="4D4D4F"/>
        </w:rPr>
      </w:pPr>
      <w:r w:rsidRPr="005B6A45">
        <w:rPr>
          <w:rFonts w:ascii="Arial" w:eastAsia="Arial" w:hAnsi="Arial" w:cs="Arial"/>
          <w:color w:val="4D4D4F"/>
        </w:rPr>
        <w:t>The following thresholds and requirements apply for registered charities for reporting periods beginning on or after 1 January 2016, or the date of registration with the Charity Commission for Northern Ireland if later.</w:t>
      </w:r>
    </w:p>
    <w:p w14:paraId="733CCE18" w14:textId="77777777" w:rsidR="005B6A45" w:rsidRDefault="005B6A45" w:rsidP="005B6A45">
      <w:pPr>
        <w:spacing w:before="5" w:after="0" w:line="110" w:lineRule="exact"/>
        <w:rPr>
          <w:sz w:val="11"/>
          <w:szCs w:val="11"/>
        </w:rPr>
      </w:pPr>
    </w:p>
    <w:p w14:paraId="7EBB6241" w14:textId="77777777" w:rsidR="00667EBA" w:rsidRDefault="001521D2" w:rsidP="00667EBA">
      <w:pPr>
        <w:spacing w:before="14" w:after="0" w:line="240" w:lineRule="auto"/>
        <w:ind w:left="137" w:right="-20"/>
        <w:rPr>
          <w:rFonts w:ascii="Arial" w:eastAsia="Arial" w:hAnsi="Arial" w:cs="Arial"/>
          <w:color w:val="4D4D4F"/>
        </w:rPr>
      </w:pPr>
      <w:hyperlink r:id="rId20" w:history="1">
        <w:r w:rsidR="00667EBA" w:rsidRPr="00667EBA">
          <w:rPr>
            <w:rStyle w:val="Hyperlink"/>
            <w:rFonts w:ascii="Arial" w:eastAsia="Arial" w:hAnsi="Arial" w:cs="Arial"/>
          </w:rPr>
          <w:t>Update Bulletin 1</w:t>
        </w:r>
      </w:hyperlink>
      <w:r w:rsidR="00667EBA" w:rsidRPr="00667EBA">
        <w:rPr>
          <w:rFonts w:ascii="Arial" w:eastAsia="Arial" w:hAnsi="Arial" w:cs="Arial"/>
          <w:color w:val="4D4D4F"/>
        </w:rPr>
        <w:t xml:space="preserve"> amended the glossary definition of a large charity used by the SORP for reporting purposes and periods beginning on or after 1 January 2016. Therefore, the following thresholds are irrelevant to the definition of a large charity which is based on the charity’s gross income levels alone.</w:t>
      </w:r>
    </w:p>
    <w:p w14:paraId="75B55B69" w14:textId="77777777" w:rsidR="00667EBA" w:rsidRDefault="00667EBA" w:rsidP="00667EBA">
      <w:pPr>
        <w:spacing w:before="5" w:after="0" w:line="110" w:lineRule="exact"/>
        <w:rPr>
          <w:sz w:val="11"/>
          <w:szCs w:val="11"/>
        </w:rPr>
      </w:pPr>
    </w:p>
    <w:p w14:paraId="4980B877" w14:textId="77777777" w:rsidR="00667EBA" w:rsidRDefault="00667EBA" w:rsidP="005B6A45">
      <w:pPr>
        <w:spacing w:before="14" w:after="0" w:line="240" w:lineRule="auto"/>
        <w:ind w:right="-20"/>
        <w:rPr>
          <w:sz w:val="26"/>
          <w:szCs w:val="26"/>
        </w:rPr>
      </w:pPr>
    </w:p>
    <w:p w14:paraId="6A3187AB" w14:textId="77777777" w:rsidR="005B6A45" w:rsidRPr="006B6F98" w:rsidRDefault="00667EBA" w:rsidP="005B6A45">
      <w:pPr>
        <w:tabs>
          <w:tab w:val="left" w:pos="760"/>
        </w:tabs>
        <w:spacing w:after="0" w:line="240" w:lineRule="auto"/>
        <w:ind w:left="137" w:right="-20"/>
        <w:rPr>
          <w:rFonts w:ascii="Arial" w:eastAsia="Arial" w:hAnsi="Arial" w:cs="Arial"/>
          <w:b/>
          <w:color w:val="4D4D4F"/>
        </w:rPr>
      </w:pPr>
      <w:r>
        <w:rPr>
          <w:rFonts w:ascii="Arial" w:eastAsia="Arial" w:hAnsi="Arial" w:cs="Arial"/>
          <w:b/>
          <w:color w:val="4D4D4F"/>
        </w:rPr>
        <w:t>Threshold for the p</w:t>
      </w:r>
      <w:r w:rsidR="005B6A45" w:rsidRPr="006B6F98">
        <w:rPr>
          <w:rFonts w:ascii="Arial" w:eastAsia="Arial" w:hAnsi="Arial" w:cs="Arial"/>
          <w:b/>
          <w:color w:val="4D4D4F"/>
        </w:rPr>
        <w:t xml:space="preserve">reparation of </w:t>
      </w:r>
      <w:r>
        <w:rPr>
          <w:rFonts w:ascii="Arial" w:eastAsia="Arial" w:hAnsi="Arial" w:cs="Arial"/>
          <w:b/>
          <w:color w:val="4D4D4F"/>
        </w:rPr>
        <w:t>accrual accounts</w:t>
      </w:r>
    </w:p>
    <w:p w14:paraId="092E8E2E" w14:textId="77777777" w:rsidR="005B6A45" w:rsidRDefault="005B6A45" w:rsidP="005B6A45">
      <w:pPr>
        <w:spacing w:before="5" w:after="0" w:line="110" w:lineRule="exact"/>
        <w:rPr>
          <w:sz w:val="11"/>
          <w:szCs w:val="11"/>
        </w:rPr>
      </w:pPr>
    </w:p>
    <w:p w14:paraId="5A113321" w14:textId="77777777" w:rsidR="005B6A45" w:rsidRDefault="00667EBA" w:rsidP="005B6A45">
      <w:pPr>
        <w:tabs>
          <w:tab w:val="left" w:pos="760"/>
        </w:tabs>
        <w:spacing w:after="0" w:line="240" w:lineRule="auto"/>
        <w:ind w:left="137" w:right="-20"/>
        <w:rPr>
          <w:rFonts w:ascii="Arial" w:eastAsia="Arial" w:hAnsi="Arial" w:cs="Arial"/>
          <w:color w:val="4D4D4F"/>
        </w:rPr>
      </w:pPr>
      <w:r w:rsidRPr="00667EBA">
        <w:rPr>
          <w:rFonts w:ascii="Arial" w:eastAsia="Arial" w:hAnsi="Arial" w:cs="Arial"/>
          <w:color w:val="4D4D4F"/>
        </w:rPr>
        <w:t>The threshold at which accruals accounts must be produced by non-company charities is a gross income of more than £250,000. Company charities must prepare accruals accounts giving a true and fair view.</w:t>
      </w:r>
    </w:p>
    <w:p w14:paraId="60E37092" w14:textId="77777777" w:rsidR="005B6A45" w:rsidRDefault="005B6A45" w:rsidP="005B6A45">
      <w:pPr>
        <w:spacing w:before="5" w:after="0" w:line="110" w:lineRule="exact"/>
        <w:rPr>
          <w:sz w:val="11"/>
          <w:szCs w:val="11"/>
        </w:rPr>
      </w:pPr>
    </w:p>
    <w:p w14:paraId="10628D59" w14:textId="77777777" w:rsidR="005B6A45" w:rsidRDefault="005B6A45" w:rsidP="005B6A45">
      <w:pPr>
        <w:spacing w:before="14" w:after="0" w:line="240" w:lineRule="auto"/>
        <w:ind w:right="-20"/>
        <w:rPr>
          <w:sz w:val="26"/>
          <w:szCs w:val="26"/>
        </w:rPr>
      </w:pPr>
    </w:p>
    <w:p w14:paraId="2FD54FEC" w14:textId="77777777" w:rsidR="005B6A45" w:rsidRPr="006B6F98" w:rsidRDefault="00667EBA" w:rsidP="005B6A45">
      <w:pPr>
        <w:tabs>
          <w:tab w:val="left" w:pos="760"/>
        </w:tabs>
        <w:spacing w:after="0" w:line="240" w:lineRule="auto"/>
        <w:ind w:left="137" w:right="-20"/>
        <w:rPr>
          <w:rFonts w:ascii="Arial" w:eastAsia="Arial" w:hAnsi="Arial" w:cs="Arial"/>
          <w:b/>
          <w:color w:val="4D4D4F"/>
        </w:rPr>
      </w:pPr>
      <w:r>
        <w:rPr>
          <w:rFonts w:ascii="Arial" w:eastAsia="Arial" w:hAnsi="Arial" w:cs="Arial"/>
          <w:b/>
          <w:color w:val="4D4D4F"/>
        </w:rPr>
        <w:t>Threshold for statutory audit</w:t>
      </w:r>
    </w:p>
    <w:p w14:paraId="2567DA3E" w14:textId="77777777" w:rsidR="005B6A45" w:rsidRDefault="005B6A45" w:rsidP="005B6A45">
      <w:pPr>
        <w:spacing w:before="5" w:after="0" w:line="110" w:lineRule="exact"/>
        <w:rPr>
          <w:sz w:val="11"/>
          <w:szCs w:val="11"/>
        </w:rPr>
      </w:pPr>
    </w:p>
    <w:p w14:paraId="1C2C3745" w14:textId="77777777" w:rsidR="005B6A45" w:rsidRDefault="00667EBA" w:rsidP="005B6A45">
      <w:pPr>
        <w:tabs>
          <w:tab w:val="left" w:pos="760"/>
        </w:tabs>
        <w:spacing w:after="0" w:line="240" w:lineRule="auto"/>
        <w:ind w:left="137" w:right="-20"/>
        <w:rPr>
          <w:rFonts w:ascii="Arial" w:eastAsia="Arial" w:hAnsi="Arial" w:cs="Arial"/>
          <w:color w:val="4D4D4F"/>
        </w:rPr>
      </w:pPr>
      <w:r w:rsidRPr="00667EBA">
        <w:rPr>
          <w:rFonts w:ascii="Arial" w:eastAsia="Arial" w:hAnsi="Arial" w:cs="Arial"/>
          <w:color w:val="4D4D4F"/>
        </w:rPr>
        <w:t>An audit is required when the charity’s gross income exceeds £500,000.</w:t>
      </w:r>
    </w:p>
    <w:p w14:paraId="67511520" w14:textId="77777777" w:rsidR="00667EBA" w:rsidRDefault="00667EBA" w:rsidP="00667EBA">
      <w:pPr>
        <w:spacing w:before="5" w:after="0" w:line="110" w:lineRule="exact"/>
        <w:rPr>
          <w:sz w:val="11"/>
          <w:szCs w:val="11"/>
        </w:rPr>
      </w:pPr>
    </w:p>
    <w:p w14:paraId="2CA45C45" w14:textId="77777777" w:rsidR="00667EBA" w:rsidRDefault="00667EBA" w:rsidP="00667EBA">
      <w:pPr>
        <w:spacing w:before="14" w:after="0" w:line="240" w:lineRule="auto"/>
        <w:ind w:right="-20"/>
        <w:rPr>
          <w:sz w:val="26"/>
          <w:szCs w:val="26"/>
        </w:rPr>
      </w:pPr>
    </w:p>
    <w:p w14:paraId="38748F45" w14:textId="77777777" w:rsidR="00667EBA" w:rsidRPr="006B6F98" w:rsidRDefault="00667EBA" w:rsidP="00667EBA">
      <w:pPr>
        <w:tabs>
          <w:tab w:val="left" w:pos="760"/>
        </w:tabs>
        <w:spacing w:after="0" w:line="240" w:lineRule="auto"/>
        <w:ind w:left="137" w:right="-20"/>
        <w:rPr>
          <w:rFonts w:ascii="Arial" w:eastAsia="Arial" w:hAnsi="Arial" w:cs="Arial"/>
          <w:b/>
          <w:color w:val="4D4D4F"/>
        </w:rPr>
      </w:pPr>
      <w:r>
        <w:rPr>
          <w:rFonts w:ascii="Arial" w:eastAsia="Arial" w:hAnsi="Arial" w:cs="Arial"/>
          <w:b/>
          <w:color w:val="4D4D4F"/>
        </w:rPr>
        <w:t>Threshold for the p</w:t>
      </w:r>
      <w:r w:rsidRPr="006B6F98">
        <w:rPr>
          <w:rFonts w:ascii="Arial" w:eastAsia="Arial" w:hAnsi="Arial" w:cs="Arial"/>
          <w:b/>
          <w:color w:val="4D4D4F"/>
        </w:rPr>
        <w:t xml:space="preserve">reparation of </w:t>
      </w:r>
      <w:r w:rsidRPr="00667EBA">
        <w:rPr>
          <w:rFonts w:ascii="Arial" w:eastAsia="Arial" w:hAnsi="Arial" w:cs="Arial"/>
          <w:b/>
          <w:color w:val="4D4D4F"/>
        </w:rPr>
        <w:t>consolidated (group) accounts</w:t>
      </w:r>
    </w:p>
    <w:p w14:paraId="6AA9197D" w14:textId="77777777" w:rsidR="00667EBA" w:rsidRDefault="00667EBA" w:rsidP="00667EBA">
      <w:pPr>
        <w:spacing w:before="5" w:after="0" w:line="110" w:lineRule="exact"/>
        <w:rPr>
          <w:sz w:val="11"/>
          <w:szCs w:val="11"/>
        </w:rPr>
      </w:pPr>
    </w:p>
    <w:p w14:paraId="7443BEED" w14:textId="77777777" w:rsidR="00667EBA" w:rsidRDefault="00667EBA" w:rsidP="00667EBA">
      <w:pPr>
        <w:tabs>
          <w:tab w:val="left" w:pos="760"/>
        </w:tabs>
        <w:spacing w:after="0" w:line="240" w:lineRule="auto"/>
        <w:ind w:left="137" w:right="-20"/>
        <w:rPr>
          <w:rFonts w:ascii="Arial" w:eastAsia="Arial" w:hAnsi="Arial" w:cs="Arial"/>
          <w:color w:val="4D4D4F"/>
        </w:rPr>
      </w:pPr>
      <w:r w:rsidRPr="00667EBA">
        <w:rPr>
          <w:rFonts w:ascii="Arial" w:eastAsia="Arial" w:hAnsi="Arial" w:cs="Arial"/>
          <w:color w:val="4D4D4F"/>
        </w:rPr>
        <w:t>Any parent charity where the aggregate gross income of the group, the parent charity and its subsidiaries, is more than £500,000 after consolidation adjustments must prepare consolidated accounts. These consolidated accounts are prepared in accordance with the Charities Act (NI) 2008 and applicable regulations. However, where a company charity is required by section 399 of the Companies Act 2006 to prepare consolidated (group) accounts, its group accounts are prepared under the Companies Act 2006.</w:t>
      </w:r>
    </w:p>
    <w:p w14:paraId="6600873A" w14:textId="77777777" w:rsidR="005B6A45" w:rsidRDefault="005B6A45" w:rsidP="005B6A45">
      <w:pPr>
        <w:tabs>
          <w:tab w:val="left" w:pos="760"/>
        </w:tabs>
        <w:spacing w:after="0" w:line="240" w:lineRule="auto"/>
        <w:ind w:left="137" w:right="-20"/>
        <w:rPr>
          <w:rFonts w:ascii="Arial" w:eastAsia="Arial" w:hAnsi="Arial" w:cs="Arial"/>
          <w:color w:val="4D4D4F"/>
        </w:rPr>
      </w:pPr>
    </w:p>
    <w:sectPr w:rsidR="005B6A45" w:rsidSect="00667EBA">
      <w:headerReference w:type="even" r:id="rId21"/>
      <w:headerReference w:type="default" r:id="rId22"/>
      <w:footerReference w:type="default" r:id="rId23"/>
      <w:headerReference w:type="first" r:id="rId24"/>
      <w:pgSz w:w="11920" w:h="16840"/>
      <w:pgMar w:top="780" w:right="1340" w:bottom="880" w:left="1280" w:header="547" w:footer="6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CC833" w14:textId="77777777" w:rsidR="001521D2" w:rsidRDefault="001521D2">
      <w:pPr>
        <w:spacing w:after="0" w:line="240" w:lineRule="auto"/>
      </w:pPr>
      <w:r>
        <w:separator/>
      </w:r>
    </w:p>
  </w:endnote>
  <w:endnote w:type="continuationSeparator" w:id="0">
    <w:p w14:paraId="46B4D1C1" w14:textId="77777777" w:rsidR="001521D2" w:rsidRDefault="0015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C945E" w14:textId="456F183A" w:rsidR="006B6F98" w:rsidRDefault="00A51061" w:rsidP="00525F46">
    <w:pPr>
      <w:tabs>
        <w:tab w:val="left" w:pos="262"/>
        <w:tab w:val="left" w:pos="1792"/>
        <w:tab w:val="left" w:pos="1848"/>
      </w:tabs>
      <w:spacing w:after="0"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764FFBC9" wp14:editId="757B40F5">
              <wp:simplePos x="0" y="0"/>
              <wp:positionH relativeFrom="page">
                <wp:posOffset>6115434</wp:posOffset>
              </wp:positionH>
              <wp:positionV relativeFrom="page">
                <wp:posOffset>10113632</wp:posOffset>
              </wp:positionV>
              <wp:extent cx="420378" cy="127000"/>
              <wp:effectExtent l="0" t="0" r="1778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8"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BB7E5" w14:textId="77777777" w:rsidR="006B6F98" w:rsidRDefault="006B6F98">
                          <w:pPr>
                            <w:spacing w:after="0" w:line="184" w:lineRule="exact"/>
                            <w:ind w:left="20" w:right="-20"/>
                            <w:rPr>
                              <w:rFonts w:ascii="Arial" w:eastAsia="Arial" w:hAnsi="Arial" w:cs="Arial"/>
                              <w:sz w:val="16"/>
                              <w:szCs w:val="16"/>
                            </w:rPr>
                          </w:pPr>
                          <w:r>
                            <w:rPr>
                              <w:rFonts w:ascii="Arial" w:eastAsia="Arial" w:hAnsi="Arial" w:cs="Arial"/>
                              <w:color w:val="696A6C"/>
                              <w:sz w:val="16"/>
                              <w:szCs w:val="16"/>
                            </w:rPr>
                            <w:t>P</w:t>
                          </w:r>
                          <w:r>
                            <w:rPr>
                              <w:rFonts w:ascii="Arial" w:eastAsia="Arial" w:hAnsi="Arial" w:cs="Arial"/>
                              <w:color w:val="696A6C"/>
                              <w:spacing w:val="2"/>
                              <w:sz w:val="16"/>
                              <w:szCs w:val="16"/>
                            </w:rPr>
                            <w:t>ag</w:t>
                          </w:r>
                          <w:r>
                            <w:rPr>
                              <w:rFonts w:ascii="Arial" w:eastAsia="Arial" w:hAnsi="Arial" w:cs="Arial"/>
                              <w:color w:val="696A6C"/>
                              <w:sz w:val="16"/>
                              <w:szCs w:val="16"/>
                            </w:rPr>
                            <w:t xml:space="preserve">e </w:t>
                          </w:r>
                          <w:r>
                            <w:fldChar w:fldCharType="begin"/>
                          </w:r>
                          <w:r>
                            <w:rPr>
                              <w:rFonts w:ascii="Arial" w:eastAsia="Arial" w:hAnsi="Arial" w:cs="Arial"/>
                              <w:color w:val="696A6C"/>
                              <w:sz w:val="16"/>
                              <w:szCs w:val="16"/>
                            </w:rPr>
                            <w:instrText xml:space="preserve"> PAGE </w:instrText>
                          </w:r>
                          <w:r>
                            <w:fldChar w:fldCharType="separate"/>
                          </w:r>
                          <w:r w:rsidR="001B4405">
                            <w:rPr>
                              <w:rFonts w:ascii="Arial" w:eastAsia="Arial" w:hAnsi="Arial" w:cs="Arial"/>
                              <w:noProof/>
                              <w:color w:val="696A6C"/>
                              <w:sz w:val="16"/>
                              <w:szCs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FFBC9" id="_x0000_t202" coordsize="21600,21600" o:spt="202" path="m,l,21600r21600,l21600,xe">
              <v:stroke joinstyle="miter"/>
              <v:path gradientshapeok="t" o:connecttype="rect"/>
            </v:shapetype>
            <v:shape id="Text Box 3" o:spid="_x0000_s1027" type="#_x0000_t202" style="position:absolute;margin-left:481.55pt;margin-top:796.35pt;width:33.1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" filled="f" stroked="f">
              <v:textbox inset="0,0,0,0">
                <w:txbxContent>
                  <w:p w14:paraId="52CBB7E5" w14:textId="77777777" w:rsidR="006B6F98" w:rsidRDefault="006B6F98">
                    <w:pPr>
                      <w:spacing w:after="0" w:line="184" w:lineRule="exact"/>
                      <w:ind w:left="20" w:right="-20"/>
                      <w:rPr>
                        <w:rFonts w:ascii="Arial" w:eastAsia="Arial" w:hAnsi="Arial" w:cs="Arial"/>
                        <w:sz w:val="16"/>
                        <w:szCs w:val="16"/>
                      </w:rPr>
                    </w:pPr>
                    <w:r>
                      <w:rPr>
                        <w:rFonts w:ascii="Arial" w:eastAsia="Arial" w:hAnsi="Arial" w:cs="Arial"/>
                        <w:color w:val="696A6C"/>
                        <w:sz w:val="16"/>
                        <w:szCs w:val="16"/>
                      </w:rPr>
                      <w:t>P</w:t>
                    </w:r>
                    <w:r>
                      <w:rPr>
                        <w:rFonts w:ascii="Arial" w:eastAsia="Arial" w:hAnsi="Arial" w:cs="Arial"/>
                        <w:color w:val="696A6C"/>
                        <w:spacing w:val="2"/>
                        <w:sz w:val="16"/>
                        <w:szCs w:val="16"/>
                      </w:rPr>
                      <w:t>ag</w:t>
                    </w:r>
                    <w:r>
                      <w:rPr>
                        <w:rFonts w:ascii="Arial" w:eastAsia="Arial" w:hAnsi="Arial" w:cs="Arial"/>
                        <w:color w:val="696A6C"/>
                        <w:sz w:val="16"/>
                        <w:szCs w:val="16"/>
                      </w:rPr>
                      <w:t xml:space="preserve">e </w:t>
                    </w:r>
                    <w:r>
                      <w:fldChar w:fldCharType="begin"/>
                    </w:r>
                    <w:r>
                      <w:rPr>
                        <w:rFonts w:ascii="Arial" w:eastAsia="Arial" w:hAnsi="Arial" w:cs="Arial"/>
                        <w:color w:val="696A6C"/>
                        <w:sz w:val="16"/>
                        <w:szCs w:val="16"/>
                      </w:rPr>
                      <w:instrText xml:space="preserve"> PAGE </w:instrText>
                    </w:r>
                    <w:r>
                      <w:fldChar w:fldCharType="separate"/>
                    </w:r>
                    <w:r w:rsidR="001B4405">
                      <w:rPr>
                        <w:rFonts w:ascii="Arial" w:eastAsia="Arial" w:hAnsi="Arial" w:cs="Arial"/>
                        <w:noProof/>
                        <w:color w:val="696A6C"/>
                        <w:sz w:val="16"/>
                        <w:szCs w:val="16"/>
                      </w:rPr>
                      <w:t>4</w:t>
                    </w:r>
                    <w:r>
                      <w:fldChar w:fldCharType="end"/>
                    </w:r>
                  </w:p>
                </w:txbxContent>
              </v:textbox>
              <w10:wrap anchorx="page" anchory="page"/>
            </v:shape>
          </w:pict>
        </mc:Fallback>
      </mc:AlternateContent>
    </w:r>
    <w:r w:rsidR="006B6F98">
      <w:rPr>
        <w:noProof/>
        <w:lang w:val="en-GB" w:eastAsia="en-GB"/>
      </w:rPr>
      <mc:AlternateContent>
        <mc:Choice Requires="wps">
          <w:drawing>
            <wp:anchor distT="0" distB="0" distL="114300" distR="114300" simplePos="0" relativeHeight="251656704" behindDoc="1" locked="0" layoutInCell="1" allowOverlap="1" wp14:anchorId="1477E96C" wp14:editId="574295CC">
              <wp:simplePos x="0" y="0"/>
              <wp:positionH relativeFrom="page">
                <wp:posOffset>878774</wp:posOffset>
              </wp:positionH>
              <wp:positionV relativeFrom="bottomMargin">
                <wp:align>top</wp:align>
              </wp:positionV>
              <wp:extent cx="2244436" cy="261257"/>
              <wp:effectExtent l="0" t="0" r="3810" b="571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436"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03178" w14:textId="2125F3B7" w:rsidR="006B6F98" w:rsidRPr="00F13CB0" w:rsidRDefault="001943C2" w:rsidP="00F13CB0">
                          <w:pPr>
                            <w:spacing w:after="0" w:line="184" w:lineRule="exact"/>
                            <w:ind w:left="20" w:right="-44"/>
                            <w:jc w:val="both"/>
                            <w:rPr>
                              <w:rFonts w:ascii="Arial" w:eastAsia="Arial" w:hAnsi="Arial" w:cs="Arial"/>
                              <w:color w:val="696A6C"/>
                              <w:spacing w:val="2"/>
                              <w:sz w:val="16"/>
                              <w:szCs w:val="16"/>
                            </w:rPr>
                          </w:pPr>
                          <w:r>
                            <w:rPr>
                              <w:rFonts w:ascii="Arial" w:eastAsia="Arial" w:hAnsi="Arial" w:cs="Arial"/>
                              <w:color w:val="696A6C"/>
                              <w:spacing w:val="2"/>
                              <w:sz w:val="16"/>
                              <w:szCs w:val="16"/>
                            </w:rPr>
                            <w:t xml:space="preserve">Information Sheet 1: </w:t>
                          </w:r>
                          <w:r w:rsidR="00C90F6C">
                            <w:rPr>
                              <w:rFonts w:ascii="Arial" w:eastAsia="Arial" w:hAnsi="Arial" w:cs="Arial"/>
                              <w:color w:val="696A6C"/>
                              <w:spacing w:val="2"/>
                              <w:sz w:val="16"/>
                              <w:szCs w:val="16"/>
                            </w:rPr>
                            <w:t>April</w:t>
                          </w:r>
                          <w:r w:rsidR="006B6F98" w:rsidRPr="00F13CB0">
                            <w:rPr>
                              <w:rFonts w:ascii="Arial" w:eastAsia="Arial" w:hAnsi="Arial" w:cs="Arial"/>
                              <w:color w:val="696A6C"/>
                              <w:spacing w:val="2"/>
                              <w:sz w:val="16"/>
                              <w:szCs w:val="16"/>
                            </w:rPr>
                            <w:t xml:space="preserve"> 201</w:t>
                          </w:r>
                          <w:r w:rsidR="003D7846">
                            <w:rPr>
                              <w:rFonts w:ascii="Arial" w:eastAsia="Arial" w:hAnsi="Arial" w:cs="Arial"/>
                              <w:color w:val="696A6C"/>
                              <w:spacing w:val="2"/>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7E96C" id="Text Box 4" o:spid="_x0000_s1028" type="#_x0000_t202" style="position:absolute;margin-left:69.2pt;margin-top:0;width:176.75pt;height:20.55pt;z-index:-25165977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wBsAIAALA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" filled="f" stroked="f">
              <v:textbox inset="0,0,0,0">
                <w:txbxContent>
                  <w:p w14:paraId="6F803178" w14:textId="2125F3B7" w:rsidR="006B6F98" w:rsidRPr="00F13CB0" w:rsidRDefault="001943C2" w:rsidP="00F13CB0">
                    <w:pPr>
                      <w:spacing w:after="0" w:line="184" w:lineRule="exact"/>
                      <w:ind w:left="20" w:right="-44"/>
                      <w:jc w:val="both"/>
                      <w:rPr>
                        <w:rFonts w:ascii="Arial" w:eastAsia="Arial" w:hAnsi="Arial" w:cs="Arial"/>
                        <w:color w:val="696A6C"/>
                        <w:spacing w:val="2"/>
                        <w:sz w:val="16"/>
                        <w:szCs w:val="16"/>
                      </w:rPr>
                    </w:pPr>
                    <w:r>
                      <w:rPr>
                        <w:rFonts w:ascii="Arial" w:eastAsia="Arial" w:hAnsi="Arial" w:cs="Arial"/>
                        <w:color w:val="696A6C"/>
                        <w:spacing w:val="2"/>
                        <w:sz w:val="16"/>
                        <w:szCs w:val="16"/>
                      </w:rPr>
                      <w:t xml:space="preserve">Information Sheet 1: </w:t>
                    </w:r>
                    <w:r w:rsidR="00C90F6C">
                      <w:rPr>
                        <w:rFonts w:ascii="Arial" w:eastAsia="Arial" w:hAnsi="Arial" w:cs="Arial"/>
                        <w:color w:val="696A6C"/>
                        <w:spacing w:val="2"/>
                        <w:sz w:val="16"/>
                        <w:szCs w:val="16"/>
                      </w:rPr>
                      <w:t>April</w:t>
                    </w:r>
                    <w:r w:rsidR="006B6F98" w:rsidRPr="00F13CB0">
                      <w:rPr>
                        <w:rFonts w:ascii="Arial" w:eastAsia="Arial" w:hAnsi="Arial" w:cs="Arial"/>
                        <w:color w:val="696A6C"/>
                        <w:spacing w:val="2"/>
                        <w:sz w:val="16"/>
                        <w:szCs w:val="16"/>
                      </w:rPr>
                      <w:t xml:space="preserve"> 201</w:t>
                    </w:r>
                    <w:r w:rsidR="003D7846">
                      <w:rPr>
                        <w:rFonts w:ascii="Arial" w:eastAsia="Arial" w:hAnsi="Arial" w:cs="Arial"/>
                        <w:color w:val="696A6C"/>
                        <w:spacing w:val="2"/>
                        <w:sz w:val="16"/>
                        <w:szCs w:val="16"/>
                      </w:rPr>
                      <w:t>7</w:t>
                    </w:r>
                  </w:p>
                </w:txbxContent>
              </v:textbox>
              <w10:wrap anchorx="page" anchory="margin"/>
            </v:shape>
          </w:pict>
        </mc:Fallback>
      </mc:AlternateContent>
    </w:r>
    <w:r>
      <w:rPr>
        <w:sz w:val="20"/>
        <w:szCs w:val="20"/>
      </w:rPr>
      <w:tab/>
    </w:r>
    <w:r w:rsidR="003D7846">
      <w:rPr>
        <w:sz w:val="20"/>
        <w:szCs w:val="20"/>
      </w:rPr>
      <w:tab/>
    </w:r>
    <w:r w:rsidR="00525F46">
      <w:rPr>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F5079" w14:textId="77777777" w:rsidR="006B6F98" w:rsidRDefault="006B6F98">
    <w:pPr>
      <w:spacing w:after="0" w:line="200" w:lineRule="exact"/>
      <w:rPr>
        <w:sz w:val="20"/>
        <w:szCs w:val="20"/>
      </w:rPr>
    </w:pPr>
    <w:r>
      <w:rPr>
        <w:noProof/>
        <w:lang w:val="en-GB" w:eastAsia="en-GB"/>
      </w:rPr>
      <mc:AlternateContent>
        <mc:Choice Requires="wps">
          <w:drawing>
            <wp:anchor distT="0" distB="0" distL="114300" distR="114300" simplePos="0" relativeHeight="251658752" behindDoc="1" locked="0" layoutInCell="1" allowOverlap="1" wp14:anchorId="2C61460F" wp14:editId="2AC976E1">
              <wp:simplePos x="0" y="0"/>
              <wp:positionH relativeFrom="page">
                <wp:posOffset>873457</wp:posOffset>
              </wp:positionH>
              <wp:positionV relativeFrom="page">
                <wp:posOffset>10112990</wp:posOffset>
              </wp:positionV>
              <wp:extent cx="1658203" cy="163773"/>
              <wp:effectExtent l="0" t="0" r="18415"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203" cy="163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77CC1" w14:textId="0CC1A807" w:rsidR="00F40109" w:rsidRPr="00F13CB0" w:rsidRDefault="001943C2" w:rsidP="00F40109">
                          <w:pPr>
                            <w:spacing w:after="0" w:line="184" w:lineRule="exact"/>
                            <w:ind w:left="20" w:right="-44"/>
                            <w:jc w:val="both"/>
                            <w:rPr>
                              <w:rFonts w:ascii="Arial" w:eastAsia="Arial" w:hAnsi="Arial" w:cs="Arial"/>
                              <w:color w:val="696A6C"/>
                              <w:spacing w:val="2"/>
                              <w:sz w:val="16"/>
                              <w:szCs w:val="16"/>
                            </w:rPr>
                          </w:pPr>
                          <w:r>
                            <w:rPr>
                              <w:rFonts w:ascii="Arial" w:eastAsia="Arial" w:hAnsi="Arial" w:cs="Arial"/>
                              <w:color w:val="696A6C"/>
                              <w:spacing w:val="2"/>
                              <w:sz w:val="16"/>
                              <w:szCs w:val="16"/>
                            </w:rPr>
                            <w:t xml:space="preserve">Information Sheet 1: </w:t>
                          </w:r>
                          <w:r w:rsidR="007370E8">
                            <w:rPr>
                              <w:rFonts w:ascii="Arial" w:eastAsia="Arial" w:hAnsi="Arial" w:cs="Arial"/>
                              <w:color w:val="696A6C"/>
                              <w:spacing w:val="2"/>
                              <w:sz w:val="16"/>
                              <w:szCs w:val="16"/>
                            </w:rPr>
                            <w:t>April</w:t>
                          </w:r>
                          <w:r w:rsidR="00F40109" w:rsidRPr="00F13CB0">
                            <w:rPr>
                              <w:rFonts w:ascii="Arial" w:eastAsia="Arial" w:hAnsi="Arial" w:cs="Arial"/>
                              <w:color w:val="696A6C"/>
                              <w:spacing w:val="2"/>
                              <w:sz w:val="16"/>
                              <w:szCs w:val="16"/>
                            </w:rPr>
                            <w:t xml:space="preserve"> 2017</w:t>
                          </w:r>
                        </w:p>
                        <w:p w14:paraId="2F09E583" w14:textId="77777777" w:rsidR="006B6F98" w:rsidRDefault="006B6F98">
                          <w:pPr>
                            <w:spacing w:after="0" w:line="184" w:lineRule="exact"/>
                            <w:ind w:left="20" w:right="-44"/>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1460F" id="_x0000_t202" coordsize="21600,21600" o:spt="202" path="m,l,21600r21600,l21600,xe">
              <v:stroke joinstyle="miter"/>
              <v:path gradientshapeok="t" o:connecttype="rect"/>
            </v:shapetype>
            <v:shape id="Text Box 2" o:spid="_x0000_s1030" type="#_x0000_t202" style="position:absolute;margin-left:68.8pt;margin-top:796.3pt;width:130.55pt;height:1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bEsAIAALA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" filled="f" stroked="f">
              <v:textbox inset="0,0,0,0">
                <w:txbxContent>
                  <w:p w14:paraId="7BC77CC1" w14:textId="0CC1A807" w:rsidR="00F40109" w:rsidRPr="00F13CB0" w:rsidRDefault="001943C2" w:rsidP="00F40109">
                    <w:pPr>
                      <w:spacing w:after="0" w:line="184" w:lineRule="exact"/>
                      <w:ind w:left="20" w:right="-44"/>
                      <w:jc w:val="both"/>
                      <w:rPr>
                        <w:rFonts w:ascii="Arial" w:eastAsia="Arial" w:hAnsi="Arial" w:cs="Arial"/>
                        <w:color w:val="696A6C"/>
                        <w:spacing w:val="2"/>
                        <w:sz w:val="16"/>
                        <w:szCs w:val="16"/>
                      </w:rPr>
                    </w:pPr>
                    <w:r>
                      <w:rPr>
                        <w:rFonts w:ascii="Arial" w:eastAsia="Arial" w:hAnsi="Arial" w:cs="Arial"/>
                        <w:color w:val="696A6C"/>
                        <w:spacing w:val="2"/>
                        <w:sz w:val="16"/>
                        <w:szCs w:val="16"/>
                      </w:rPr>
                      <w:t xml:space="preserve">Information Sheet 1: </w:t>
                    </w:r>
                    <w:r w:rsidR="007370E8">
                      <w:rPr>
                        <w:rFonts w:ascii="Arial" w:eastAsia="Arial" w:hAnsi="Arial" w:cs="Arial"/>
                        <w:color w:val="696A6C"/>
                        <w:spacing w:val="2"/>
                        <w:sz w:val="16"/>
                        <w:szCs w:val="16"/>
                      </w:rPr>
                      <w:t>April</w:t>
                    </w:r>
                    <w:bookmarkStart w:id="11" w:name="_GoBack"/>
                    <w:bookmarkEnd w:id="11"/>
                    <w:r w:rsidR="00F40109" w:rsidRPr="00F13CB0">
                      <w:rPr>
                        <w:rFonts w:ascii="Arial" w:eastAsia="Arial" w:hAnsi="Arial" w:cs="Arial"/>
                        <w:color w:val="696A6C"/>
                        <w:spacing w:val="2"/>
                        <w:sz w:val="16"/>
                        <w:szCs w:val="16"/>
                      </w:rPr>
                      <w:t xml:space="preserve"> 2017</w:t>
                    </w:r>
                  </w:p>
                  <w:p w14:paraId="2F09E583" w14:textId="77777777" w:rsidR="006B6F98" w:rsidRDefault="006B6F98">
                    <w:pPr>
                      <w:spacing w:after="0" w:line="184" w:lineRule="exact"/>
                      <w:ind w:left="20" w:right="-44"/>
                      <w:rPr>
                        <w:rFonts w:ascii="Arial" w:eastAsia="Arial" w:hAnsi="Arial" w:cs="Arial"/>
                        <w:sz w:val="16"/>
                        <w:szCs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776" behindDoc="1" locked="0" layoutInCell="1" allowOverlap="1" wp14:anchorId="0DE26FE1" wp14:editId="42EAD1EC">
              <wp:simplePos x="0" y="0"/>
              <wp:positionH relativeFrom="page">
                <wp:posOffset>6116320</wp:posOffset>
              </wp:positionH>
              <wp:positionV relativeFrom="page">
                <wp:posOffset>10113010</wp:posOffset>
              </wp:positionV>
              <wp:extent cx="417195" cy="127000"/>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17EEA" w14:textId="77777777" w:rsidR="006B6F98" w:rsidRDefault="006B6F98">
                          <w:pPr>
                            <w:spacing w:after="0" w:line="184" w:lineRule="exact"/>
                            <w:ind w:left="20" w:right="-20"/>
                            <w:rPr>
                              <w:rFonts w:ascii="Arial" w:eastAsia="Arial" w:hAnsi="Arial" w:cs="Arial"/>
                              <w:sz w:val="16"/>
                              <w:szCs w:val="16"/>
                            </w:rPr>
                          </w:pPr>
                          <w:r>
                            <w:rPr>
                              <w:rFonts w:ascii="Arial" w:eastAsia="Arial" w:hAnsi="Arial" w:cs="Arial"/>
                              <w:color w:val="696A6C"/>
                              <w:sz w:val="16"/>
                              <w:szCs w:val="16"/>
                            </w:rPr>
                            <w:t>P</w:t>
                          </w:r>
                          <w:r>
                            <w:rPr>
                              <w:rFonts w:ascii="Arial" w:eastAsia="Arial" w:hAnsi="Arial" w:cs="Arial"/>
                              <w:color w:val="696A6C"/>
                              <w:spacing w:val="2"/>
                              <w:sz w:val="16"/>
                              <w:szCs w:val="16"/>
                            </w:rPr>
                            <w:t>ag</w:t>
                          </w:r>
                          <w:r>
                            <w:rPr>
                              <w:rFonts w:ascii="Arial" w:eastAsia="Arial" w:hAnsi="Arial" w:cs="Arial"/>
                              <w:color w:val="696A6C"/>
                              <w:sz w:val="16"/>
                              <w:szCs w:val="16"/>
                            </w:rPr>
                            <w:t xml:space="preserve">e </w:t>
                          </w:r>
                          <w:r>
                            <w:fldChar w:fldCharType="begin"/>
                          </w:r>
                          <w:r>
                            <w:rPr>
                              <w:rFonts w:ascii="Arial" w:eastAsia="Arial" w:hAnsi="Arial" w:cs="Arial"/>
                              <w:color w:val="696A6C"/>
                              <w:sz w:val="16"/>
                              <w:szCs w:val="16"/>
                            </w:rPr>
                            <w:instrText xml:space="preserve"> PAGE </w:instrText>
                          </w:r>
                          <w:r>
                            <w:fldChar w:fldCharType="separate"/>
                          </w:r>
                          <w:r w:rsidR="005F41E5">
                            <w:rPr>
                              <w:rFonts w:ascii="Arial" w:eastAsia="Arial" w:hAnsi="Arial" w:cs="Arial"/>
                              <w:noProof/>
                              <w:color w:val="696A6C"/>
                              <w:sz w:val="16"/>
                              <w:szCs w:val="16"/>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26FE1" id="_x0000_t202" coordsize="21600,21600" o:spt="202" path="m,l,21600r21600,l21600,xe">
              <v:stroke joinstyle="miter"/>
              <v:path gradientshapeok="t" o:connecttype="rect"/>
            </v:shapetype>
            <v:shape id="Text Box 1" o:spid="_x0000_s1031" type="#_x0000_t202" style="position:absolute;margin-left:481.6pt;margin-top:796.3pt;width:32.85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" filled="f" stroked="f">
              <v:textbox inset="0,0,0,0">
                <w:txbxContent>
                  <w:p w14:paraId="5B617EEA" w14:textId="77777777" w:rsidR="006B6F98" w:rsidRDefault="006B6F98">
                    <w:pPr>
                      <w:spacing w:after="0" w:line="184" w:lineRule="exact"/>
                      <w:ind w:left="20" w:right="-20"/>
                      <w:rPr>
                        <w:rFonts w:ascii="Arial" w:eastAsia="Arial" w:hAnsi="Arial" w:cs="Arial"/>
                        <w:sz w:val="16"/>
                        <w:szCs w:val="16"/>
                      </w:rPr>
                    </w:pPr>
                    <w:r>
                      <w:rPr>
                        <w:rFonts w:ascii="Arial" w:eastAsia="Arial" w:hAnsi="Arial" w:cs="Arial"/>
                        <w:color w:val="696A6C"/>
                        <w:sz w:val="16"/>
                        <w:szCs w:val="16"/>
                      </w:rPr>
                      <w:t>P</w:t>
                    </w:r>
                    <w:r>
                      <w:rPr>
                        <w:rFonts w:ascii="Arial" w:eastAsia="Arial" w:hAnsi="Arial" w:cs="Arial"/>
                        <w:color w:val="696A6C"/>
                        <w:spacing w:val="2"/>
                        <w:sz w:val="16"/>
                        <w:szCs w:val="16"/>
                      </w:rPr>
                      <w:t>ag</w:t>
                    </w:r>
                    <w:r>
                      <w:rPr>
                        <w:rFonts w:ascii="Arial" w:eastAsia="Arial" w:hAnsi="Arial" w:cs="Arial"/>
                        <w:color w:val="696A6C"/>
                        <w:sz w:val="16"/>
                        <w:szCs w:val="16"/>
                      </w:rPr>
                      <w:t xml:space="preserve">e </w:t>
                    </w:r>
                    <w:r>
                      <w:fldChar w:fldCharType="begin"/>
                    </w:r>
                    <w:r>
                      <w:rPr>
                        <w:rFonts w:ascii="Arial" w:eastAsia="Arial" w:hAnsi="Arial" w:cs="Arial"/>
                        <w:color w:val="696A6C"/>
                        <w:sz w:val="16"/>
                        <w:szCs w:val="16"/>
                      </w:rPr>
                      <w:instrText xml:space="preserve"> PAGE </w:instrText>
                    </w:r>
                    <w:r>
                      <w:fldChar w:fldCharType="separate"/>
                    </w:r>
                    <w:r w:rsidR="005F41E5">
                      <w:rPr>
                        <w:rFonts w:ascii="Arial" w:eastAsia="Arial" w:hAnsi="Arial" w:cs="Arial"/>
                        <w:noProof/>
                        <w:color w:val="696A6C"/>
                        <w:sz w:val="16"/>
                        <w:szCs w:val="16"/>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00AC4" w14:textId="77777777" w:rsidR="001521D2" w:rsidRDefault="001521D2">
      <w:pPr>
        <w:spacing w:after="0" w:line="240" w:lineRule="auto"/>
      </w:pPr>
      <w:r>
        <w:separator/>
      </w:r>
    </w:p>
  </w:footnote>
  <w:footnote w:type="continuationSeparator" w:id="0">
    <w:p w14:paraId="3A62BE22" w14:textId="77777777" w:rsidR="001521D2" w:rsidRDefault="001521D2">
      <w:pPr>
        <w:spacing w:after="0" w:line="240" w:lineRule="auto"/>
      </w:pPr>
      <w:r>
        <w:continuationSeparator/>
      </w:r>
    </w:p>
  </w:footnote>
  <w:footnote w:id="1">
    <w:p w14:paraId="665D2BD5" w14:textId="77777777" w:rsidR="00EF0EBE" w:rsidRPr="001428A5" w:rsidRDefault="005C6099" w:rsidP="00EF0EBE">
      <w:pPr>
        <w:pStyle w:val="FootnoteText"/>
        <w:rPr>
          <w:rFonts w:ascii="Arial" w:eastAsia="Arial" w:hAnsi="Arial" w:cs="Arial"/>
          <w:color w:val="4D4D4F"/>
          <w:szCs w:val="22"/>
        </w:rPr>
      </w:pPr>
      <w:r w:rsidRPr="005E6115">
        <w:rPr>
          <w:rStyle w:val="FootnoteReference"/>
          <w:rFonts w:ascii="Arial" w:hAnsi="Arial" w:cs="Arial"/>
          <w:color w:val="595959" w:themeColor="text1" w:themeTint="A6"/>
        </w:rPr>
        <w:footnoteRef/>
      </w:r>
      <w:r w:rsidRPr="005E6115">
        <w:rPr>
          <w:rFonts w:ascii="Arial" w:hAnsi="Arial" w:cs="Arial"/>
          <w:color w:val="595959" w:themeColor="text1" w:themeTint="A6"/>
        </w:rPr>
        <w:t xml:space="preserve"> </w:t>
      </w:r>
      <w:r w:rsidR="00EF0EBE" w:rsidRPr="001428A5">
        <w:rPr>
          <w:rFonts w:ascii="Arial" w:eastAsia="Arial" w:hAnsi="Arial" w:cs="Arial"/>
          <w:color w:val="4D4D4F"/>
          <w:szCs w:val="22"/>
        </w:rPr>
        <w:t>The exemption for the preparation of a cash flow statement allowed under FRS 102 is permitted by the relevant legal requirements applicable in England &amp; Wales, Northern Ireland and the Republic of Ireland.</w:t>
      </w:r>
    </w:p>
    <w:p w14:paraId="76692373" w14:textId="09F8F1FF" w:rsidR="005C6099" w:rsidRPr="001428A5" w:rsidRDefault="00EF0EBE" w:rsidP="00EF0EBE">
      <w:pPr>
        <w:pStyle w:val="FootnoteText"/>
        <w:rPr>
          <w:rFonts w:ascii="Arial" w:eastAsia="Arial" w:hAnsi="Arial" w:cs="Arial"/>
          <w:color w:val="4D4D4F"/>
          <w:szCs w:val="22"/>
        </w:rPr>
      </w:pPr>
      <w:r w:rsidRPr="001428A5">
        <w:rPr>
          <w:rFonts w:ascii="Arial" w:eastAsia="Arial" w:hAnsi="Arial" w:cs="Arial"/>
          <w:color w:val="4D4D4F"/>
          <w:szCs w:val="22"/>
        </w:rPr>
        <w:t>For charities registered in Scotland (including cross-border charities registered with OSCR), a strict reading of The Charities Accounts (Scotland) Regulations 2006 (as amended) also permits th</w:t>
      </w:r>
      <w:r w:rsidR="004B7521" w:rsidRPr="001428A5">
        <w:rPr>
          <w:rFonts w:ascii="Arial" w:eastAsia="Arial" w:hAnsi="Arial" w:cs="Arial"/>
          <w:color w:val="4D4D4F"/>
          <w:szCs w:val="22"/>
        </w:rPr>
        <w:t>is</w:t>
      </w:r>
      <w:r w:rsidRPr="001428A5">
        <w:rPr>
          <w:rFonts w:ascii="Arial" w:eastAsia="Arial" w:hAnsi="Arial" w:cs="Arial"/>
          <w:color w:val="4D4D4F"/>
          <w:szCs w:val="22"/>
        </w:rPr>
        <w:t xml:space="preserve"> exemption. However, it is understood the drafting intention of this regulation was for a statement of account to be available in full for both </w:t>
      </w:r>
      <w:r w:rsidR="004B7521" w:rsidRPr="001428A5">
        <w:rPr>
          <w:rFonts w:ascii="Arial" w:eastAsia="Arial" w:hAnsi="Arial" w:cs="Arial"/>
          <w:color w:val="4D4D4F"/>
          <w:szCs w:val="22"/>
        </w:rPr>
        <w:t xml:space="preserve">the </w:t>
      </w:r>
      <w:r w:rsidRPr="001428A5">
        <w:rPr>
          <w:rFonts w:ascii="Arial" w:eastAsia="Arial" w:hAnsi="Arial" w:cs="Arial"/>
          <w:color w:val="4D4D4F"/>
          <w:szCs w:val="22"/>
        </w:rPr>
        <w:t>parent and subsidiary charities, as well as the charitable group as a whole, in the interests of transparency. Therefore it is recommended that statement of account is made available in full for the parent and subsidiary charities as well as the group as a whole.</w:t>
      </w:r>
    </w:p>
    <w:p w14:paraId="44C74B8D" w14:textId="77777777" w:rsidR="00EF0EBE" w:rsidRPr="001428A5" w:rsidRDefault="00EF0EBE" w:rsidP="00EF0EBE">
      <w:pPr>
        <w:pStyle w:val="FootnoteText"/>
        <w:rPr>
          <w:sz w:val="11"/>
          <w:szCs w:val="11"/>
          <w:lang w:val="en-GB"/>
        </w:rPr>
      </w:pPr>
    </w:p>
  </w:footnote>
  <w:footnote w:id="2">
    <w:p w14:paraId="0EF4D4E3" w14:textId="5CA647A9" w:rsidR="007837FD" w:rsidRPr="003A6AAE" w:rsidRDefault="006B6F98">
      <w:pPr>
        <w:pStyle w:val="FootnoteText"/>
        <w:rPr>
          <w:sz w:val="18"/>
        </w:rPr>
      </w:pPr>
      <w:r w:rsidRPr="005E6115">
        <w:rPr>
          <w:rStyle w:val="FootnoteReference"/>
          <w:rFonts w:ascii="Arial" w:hAnsi="Arial" w:cs="Arial"/>
          <w:color w:val="595959" w:themeColor="text1" w:themeTint="A6"/>
          <w:sz w:val="18"/>
        </w:rPr>
        <w:footnoteRef/>
      </w:r>
      <w:r w:rsidRPr="005E6115">
        <w:rPr>
          <w:rFonts w:ascii="Arial" w:hAnsi="Arial" w:cs="Arial"/>
          <w:color w:val="595959" w:themeColor="text1" w:themeTint="A6"/>
          <w:sz w:val="18"/>
        </w:rPr>
        <w:t xml:space="preserve"> </w:t>
      </w:r>
      <w:r w:rsidRPr="003A6AAE">
        <w:rPr>
          <w:rFonts w:ascii="Arial" w:eastAsia="Arial" w:hAnsi="Arial" w:cs="Arial"/>
          <w:color w:val="4D4D4F"/>
          <w:szCs w:val="22"/>
        </w:rPr>
        <w:t xml:space="preserve">These provisions are adapted from paragraph 1.11 of FRS 102 (incorporating the ‘Amendment to </w:t>
      </w:r>
      <w:r w:rsidR="00C90F6C">
        <w:rPr>
          <w:rFonts w:ascii="Arial" w:eastAsia="Arial" w:hAnsi="Arial" w:cs="Arial"/>
          <w:color w:val="4D4D4F"/>
          <w:szCs w:val="22"/>
        </w:rPr>
        <w:t xml:space="preserve">FRS 101 </w:t>
      </w:r>
      <w:r w:rsidR="00C90F6C">
        <w:rPr>
          <w:rFonts w:ascii="Arial" w:eastAsia="Arial" w:hAnsi="Arial" w:cs="Arial"/>
          <w:i/>
          <w:color w:val="4D4D4F"/>
          <w:szCs w:val="22"/>
        </w:rPr>
        <w:t xml:space="preserve">Reduced Disclosure </w:t>
      </w:r>
      <w:r w:rsidR="00C90F6C" w:rsidRPr="00C90F6C">
        <w:rPr>
          <w:rFonts w:ascii="Arial" w:eastAsia="Arial" w:hAnsi="Arial" w:cs="Arial"/>
          <w:color w:val="4D4D4F"/>
          <w:szCs w:val="22"/>
        </w:rPr>
        <w:t>Framework</w:t>
      </w:r>
      <w:r w:rsidR="00C90F6C">
        <w:rPr>
          <w:rFonts w:ascii="Arial" w:eastAsia="Arial" w:hAnsi="Arial" w:cs="Arial"/>
          <w:color w:val="4D4D4F"/>
          <w:szCs w:val="22"/>
        </w:rPr>
        <w:t xml:space="preserve"> and FRS 102 </w:t>
      </w:r>
      <w:r w:rsidR="00C90F6C">
        <w:rPr>
          <w:rFonts w:ascii="Arial" w:eastAsia="Arial" w:hAnsi="Arial" w:cs="Arial"/>
          <w:i/>
          <w:color w:val="4D4D4F"/>
          <w:szCs w:val="22"/>
        </w:rPr>
        <w:t xml:space="preserve">The Financial Reporting Standard applicable in the UK and Republic of Ireland </w:t>
      </w:r>
      <w:r w:rsidR="00C90F6C">
        <w:t xml:space="preserve">– </w:t>
      </w:r>
      <w:r w:rsidR="00C90F6C" w:rsidRPr="00312BC9">
        <w:rPr>
          <w:rFonts w:ascii="Arial" w:eastAsia="Arial" w:hAnsi="Arial" w:cs="Arial"/>
          <w:i/>
          <w:color w:val="4D4D4F"/>
          <w:szCs w:val="22"/>
        </w:rPr>
        <w:t>Notification of shareholders</w:t>
      </w:r>
      <w:r w:rsidRPr="00312BC9">
        <w:rPr>
          <w:rFonts w:ascii="Arial" w:eastAsia="Arial" w:hAnsi="Arial" w:cs="Arial"/>
          <w:i/>
          <w:color w:val="4D4D4F"/>
          <w:szCs w:val="22"/>
        </w:rPr>
        <w:t>’</w:t>
      </w:r>
      <w:r w:rsidR="000A6E3E">
        <w:rPr>
          <w:rFonts w:ascii="Arial" w:eastAsia="Arial" w:hAnsi="Arial" w:cs="Arial"/>
          <w:color w:val="4D4D4F"/>
          <w:szCs w:val="22"/>
        </w:rPr>
        <w:t xml:space="preserve">, </w:t>
      </w:r>
      <w:r w:rsidR="000A6E3E" w:rsidRPr="003A6AAE">
        <w:rPr>
          <w:rFonts w:ascii="Arial" w:eastAsia="Arial" w:hAnsi="Arial" w:cs="Arial"/>
          <w:color w:val="4D4D4F"/>
          <w:szCs w:val="22"/>
        </w:rPr>
        <w:t>December 2016</w:t>
      </w:r>
      <w:r w:rsidRPr="003A6AAE">
        <w:rPr>
          <w:rFonts w:ascii="Arial" w:eastAsia="Arial" w:hAnsi="Arial" w:cs="Arial"/>
          <w:color w:val="4D4D4F"/>
          <w:szCs w:val="22"/>
        </w:rPr>
        <w:t>).</w:t>
      </w:r>
    </w:p>
    <w:p w14:paraId="48195000" w14:textId="77777777" w:rsidR="006B6F98" w:rsidRPr="001428A5" w:rsidRDefault="006B6F98">
      <w:pPr>
        <w:pStyle w:val="FootnoteText"/>
        <w:rPr>
          <w:sz w:val="6"/>
          <w:szCs w:val="6"/>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D1CEE" w14:textId="306AAA4C" w:rsidR="009173D9" w:rsidRDefault="009173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8234C" w14:textId="0713EEE5" w:rsidR="006B6F98" w:rsidRDefault="006B6F98">
    <w:pPr>
      <w:spacing w:after="0" w:line="200" w:lineRule="exact"/>
      <w:rPr>
        <w:sz w:val="20"/>
        <w:szCs w:val="20"/>
      </w:rPr>
    </w:pPr>
    <w:r>
      <w:rPr>
        <w:noProof/>
        <w:lang w:val="en-GB" w:eastAsia="en-GB"/>
      </w:rPr>
      <mc:AlternateContent>
        <mc:Choice Requires="wps">
          <w:drawing>
            <wp:anchor distT="0" distB="0" distL="114300" distR="114300" simplePos="0" relativeHeight="251655680" behindDoc="1" locked="0" layoutInCell="1" allowOverlap="1" wp14:anchorId="6F791A92" wp14:editId="13FD4515">
              <wp:simplePos x="0" y="0"/>
              <wp:positionH relativeFrom="page">
                <wp:align>center</wp:align>
              </wp:positionH>
              <wp:positionV relativeFrom="topMargin">
                <wp:align>bottom</wp:align>
              </wp:positionV>
              <wp:extent cx="3063834" cy="154379"/>
              <wp:effectExtent l="0" t="0" r="3810" b="1714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34" cy="154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20E30" w14:textId="77777777" w:rsidR="006B6F98" w:rsidRDefault="006B6F98">
                          <w:pPr>
                            <w:spacing w:after="0" w:line="265" w:lineRule="exact"/>
                            <w:ind w:left="20" w:right="-56"/>
                            <w:rPr>
                              <w:rFonts w:ascii="Arial" w:eastAsia="Arial" w:hAnsi="Arial" w:cs="Arial"/>
                              <w:sz w:val="24"/>
                              <w:szCs w:val="24"/>
                            </w:rPr>
                          </w:pPr>
                          <w:r>
                            <w:rPr>
                              <w:rFonts w:ascii="Arial" w:eastAsia="Arial" w:hAnsi="Arial" w:cs="Arial"/>
                              <w:i/>
                              <w:color w:val="98C43D"/>
                              <w:sz w:val="24"/>
                              <w:szCs w:val="24"/>
                            </w:rPr>
                            <w:t>Information Sheet 1: Implementation Issues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91A92" id="_x0000_t202" coordsize="21600,21600" o:spt="202" path="m,l,21600r21600,l21600,xe">
              <v:stroke joinstyle="miter"/>
              <v:path gradientshapeok="t" o:connecttype="rect"/>
            </v:shapetype>
            <v:shape id="Text Box 5" o:spid="_x0000_s1026" type="#_x0000_t202" style="position:absolute;margin-left:0;margin-top:0;width:241.25pt;height:12.15pt;z-index:-251660800;visibility:visible;mso-wrap-style:square;mso-width-percent:0;mso-height-percent:0;mso-wrap-distance-left:9pt;mso-wrap-distance-top:0;mso-wrap-distance-right:9pt;mso-wrap-distance-bottom:0;mso-position-horizontal:center;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5srQIAAKk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" filled="f" stroked="f">
              <v:textbox inset="0,0,0,0">
                <w:txbxContent>
                  <w:p w14:paraId="55D20E30" w14:textId="77777777" w:rsidR="006B6F98" w:rsidRDefault="006B6F98">
                    <w:pPr>
                      <w:spacing w:after="0" w:line="265" w:lineRule="exact"/>
                      <w:ind w:left="20" w:right="-56"/>
                      <w:rPr>
                        <w:rFonts w:ascii="Arial" w:eastAsia="Arial" w:hAnsi="Arial" w:cs="Arial"/>
                        <w:sz w:val="24"/>
                        <w:szCs w:val="24"/>
                      </w:rPr>
                    </w:pPr>
                    <w:r>
                      <w:rPr>
                        <w:rFonts w:ascii="Arial" w:eastAsia="Arial" w:hAnsi="Arial" w:cs="Arial"/>
                        <w:i/>
                        <w:color w:val="98C43D"/>
                        <w:sz w:val="24"/>
                        <w:szCs w:val="24"/>
                      </w:rPr>
                      <w:t>Information Sheet 1: Implementation Issues</w:t>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E431A" w14:textId="3339186C" w:rsidR="009173D9" w:rsidRDefault="009173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826BC" w14:textId="4B239B54" w:rsidR="009173D9" w:rsidRDefault="009173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1569A" w14:textId="300AD409" w:rsidR="009173D9" w:rsidRDefault="00B10D57">
    <w:pPr>
      <w:pStyle w:val="Header"/>
    </w:pPr>
    <w:r>
      <w:rPr>
        <w:noProof/>
        <w:lang w:val="en-GB" w:eastAsia="en-GB"/>
      </w:rPr>
      <mc:AlternateContent>
        <mc:Choice Requires="wps">
          <w:drawing>
            <wp:anchor distT="0" distB="0" distL="114300" distR="114300" simplePos="0" relativeHeight="251680256" behindDoc="1" locked="0" layoutInCell="1" allowOverlap="1" wp14:anchorId="538CF846" wp14:editId="621D7DA7">
              <wp:simplePos x="0" y="0"/>
              <wp:positionH relativeFrom="page">
                <wp:align>center</wp:align>
              </wp:positionH>
              <wp:positionV relativeFrom="topMargin">
                <wp:align>bottom</wp:align>
              </wp:positionV>
              <wp:extent cx="3063834" cy="154379"/>
              <wp:effectExtent l="0" t="0" r="3810" b="1714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34" cy="154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6AD7B" w14:textId="77777777" w:rsidR="00B10D57" w:rsidRDefault="00B10D57" w:rsidP="00B10D57">
                          <w:pPr>
                            <w:spacing w:after="0" w:line="265" w:lineRule="exact"/>
                            <w:ind w:left="20" w:right="-56"/>
                            <w:rPr>
                              <w:rFonts w:ascii="Arial" w:eastAsia="Arial" w:hAnsi="Arial" w:cs="Arial"/>
                              <w:sz w:val="24"/>
                              <w:szCs w:val="24"/>
                            </w:rPr>
                          </w:pPr>
                          <w:r>
                            <w:rPr>
                              <w:rFonts w:ascii="Arial" w:eastAsia="Arial" w:hAnsi="Arial" w:cs="Arial"/>
                              <w:i/>
                              <w:color w:val="98C43D"/>
                              <w:sz w:val="24"/>
                              <w:szCs w:val="24"/>
                            </w:rPr>
                            <w:t>Information Sheet 1: Implementation Issues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CF846" id="_x0000_t202" coordsize="21600,21600" o:spt="202" path="m,l,21600r21600,l21600,xe">
              <v:stroke joinstyle="miter"/>
              <v:path gradientshapeok="t" o:connecttype="rect"/>
            </v:shapetype>
            <v:shape id="_x0000_s1029" type="#_x0000_t202" style="position:absolute;margin-left:0;margin-top:0;width:241.25pt;height:12.15pt;z-index:-251636224;visibility:visible;mso-wrap-style:square;mso-width-percent:0;mso-height-percent:0;mso-wrap-distance-left:9pt;mso-wrap-distance-top:0;mso-wrap-distance-right:9pt;mso-wrap-distance-bottom:0;mso-position-horizontal:center;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nUsAIAALA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" filled="f" stroked="f">
              <v:textbox inset="0,0,0,0">
                <w:txbxContent>
                  <w:p w14:paraId="4A96AD7B" w14:textId="77777777" w:rsidR="00B10D57" w:rsidRDefault="00B10D57" w:rsidP="00B10D57">
                    <w:pPr>
                      <w:spacing w:after="0" w:line="265" w:lineRule="exact"/>
                      <w:ind w:left="20" w:right="-56"/>
                      <w:rPr>
                        <w:rFonts w:ascii="Arial" w:eastAsia="Arial" w:hAnsi="Arial" w:cs="Arial"/>
                        <w:sz w:val="24"/>
                        <w:szCs w:val="24"/>
                      </w:rPr>
                    </w:pPr>
                    <w:r>
                      <w:rPr>
                        <w:rFonts w:ascii="Arial" w:eastAsia="Arial" w:hAnsi="Arial" w:cs="Arial"/>
                        <w:i/>
                        <w:color w:val="98C43D"/>
                        <w:sz w:val="24"/>
                        <w:szCs w:val="24"/>
                      </w:rPr>
                      <w:t>Information Sheet 1: Implementation Issues</w:t>
                    </w:r>
                  </w:p>
                </w:txbxContent>
              </v:textbox>
              <w10:wrap anchorx="page"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83D50" w14:textId="22C06D08" w:rsidR="009173D9" w:rsidRDefault="00917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B6E0C"/>
    <w:multiLevelType w:val="multilevel"/>
    <w:tmpl w:val="CB1A46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ascii="Arial" w:hAnsi="Arial" w:cs="Arial" w:hint="default"/>
        <w:sz w:val="22"/>
        <w:szCs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D86017"/>
    <w:multiLevelType w:val="hybridMultilevel"/>
    <w:tmpl w:val="D89A3D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1E2678"/>
    <w:multiLevelType w:val="hybridMultilevel"/>
    <w:tmpl w:val="E954D516"/>
    <w:lvl w:ilvl="0" w:tplc="3E32827A">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0536F5"/>
    <w:multiLevelType w:val="hybridMultilevel"/>
    <w:tmpl w:val="0D2A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061DB"/>
    <w:multiLevelType w:val="multilevel"/>
    <w:tmpl w:val="FD4848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Arial" w:hAnsi="Arial" w:cs="Arial" w:hint="default"/>
        <w:i/>
        <w:color w:val="595959" w:themeColor="text1" w:themeTint="A6"/>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74"/>
    <w:rsid w:val="00010F12"/>
    <w:rsid w:val="0001368E"/>
    <w:rsid w:val="00013C77"/>
    <w:rsid w:val="000535C1"/>
    <w:rsid w:val="00061392"/>
    <w:rsid w:val="000A6E3E"/>
    <w:rsid w:val="000D5BA4"/>
    <w:rsid w:val="001015E0"/>
    <w:rsid w:val="001052F3"/>
    <w:rsid w:val="001428A5"/>
    <w:rsid w:val="0014719E"/>
    <w:rsid w:val="001521D2"/>
    <w:rsid w:val="00153B75"/>
    <w:rsid w:val="001634C5"/>
    <w:rsid w:val="001943C2"/>
    <w:rsid w:val="001B4405"/>
    <w:rsid w:val="001D4C1B"/>
    <w:rsid w:val="00206291"/>
    <w:rsid w:val="00222A1D"/>
    <w:rsid w:val="00224C80"/>
    <w:rsid w:val="00266416"/>
    <w:rsid w:val="0026652F"/>
    <w:rsid w:val="002A4D95"/>
    <w:rsid w:val="002B6ABF"/>
    <w:rsid w:val="002D265C"/>
    <w:rsid w:val="00310844"/>
    <w:rsid w:val="00312BC9"/>
    <w:rsid w:val="00322581"/>
    <w:rsid w:val="00324449"/>
    <w:rsid w:val="00396FC6"/>
    <w:rsid w:val="003A4869"/>
    <w:rsid w:val="003A6AAE"/>
    <w:rsid w:val="003B31DB"/>
    <w:rsid w:val="003D7846"/>
    <w:rsid w:val="003F5632"/>
    <w:rsid w:val="003F7B82"/>
    <w:rsid w:val="004007C5"/>
    <w:rsid w:val="00455982"/>
    <w:rsid w:val="00476A01"/>
    <w:rsid w:val="004929CB"/>
    <w:rsid w:val="004A56DE"/>
    <w:rsid w:val="004B43B3"/>
    <w:rsid w:val="004B7521"/>
    <w:rsid w:val="004C0112"/>
    <w:rsid w:val="004E50AD"/>
    <w:rsid w:val="00525F46"/>
    <w:rsid w:val="0054477F"/>
    <w:rsid w:val="00571880"/>
    <w:rsid w:val="00577329"/>
    <w:rsid w:val="00587CA8"/>
    <w:rsid w:val="005B6A45"/>
    <w:rsid w:val="005C6099"/>
    <w:rsid w:val="005C7CDF"/>
    <w:rsid w:val="005D370A"/>
    <w:rsid w:val="005E6115"/>
    <w:rsid w:val="005F338C"/>
    <w:rsid w:val="005F41E5"/>
    <w:rsid w:val="00667EBA"/>
    <w:rsid w:val="00696E6F"/>
    <w:rsid w:val="006B6F98"/>
    <w:rsid w:val="006F39F5"/>
    <w:rsid w:val="006F4525"/>
    <w:rsid w:val="007125A1"/>
    <w:rsid w:val="007370E8"/>
    <w:rsid w:val="00744030"/>
    <w:rsid w:val="007837FD"/>
    <w:rsid w:val="007A4AAF"/>
    <w:rsid w:val="007A4BF5"/>
    <w:rsid w:val="007B0B92"/>
    <w:rsid w:val="007E2265"/>
    <w:rsid w:val="008064A9"/>
    <w:rsid w:val="00814E52"/>
    <w:rsid w:val="008460DE"/>
    <w:rsid w:val="0086505D"/>
    <w:rsid w:val="0089389C"/>
    <w:rsid w:val="00896DE7"/>
    <w:rsid w:val="008B1B1A"/>
    <w:rsid w:val="00904903"/>
    <w:rsid w:val="009173D9"/>
    <w:rsid w:val="009250FA"/>
    <w:rsid w:val="00932874"/>
    <w:rsid w:val="00941077"/>
    <w:rsid w:val="0095190E"/>
    <w:rsid w:val="00981B63"/>
    <w:rsid w:val="009C1DDB"/>
    <w:rsid w:val="009C4092"/>
    <w:rsid w:val="009E411F"/>
    <w:rsid w:val="009F4567"/>
    <w:rsid w:val="009F6A05"/>
    <w:rsid w:val="009F71AF"/>
    <w:rsid w:val="00A14E93"/>
    <w:rsid w:val="00A476FC"/>
    <w:rsid w:val="00A51061"/>
    <w:rsid w:val="00A84686"/>
    <w:rsid w:val="00AB4F98"/>
    <w:rsid w:val="00AC0E05"/>
    <w:rsid w:val="00AC6216"/>
    <w:rsid w:val="00AD38A0"/>
    <w:rsid w:val="00AF5BDC"/>
    <w:rsid w:val="00B04E01"/>
    <w:rsid w:val="00B10D57"/>
    <w:rsid w:val="00B14D48"/>
    <w:rsid w:val="00B44019"/>
    <w:rsid w:val="00B632BB"/>
    <w:rsid w:val="00B7434C"/>
    <w:rsid w:val="00B97CD8"/>
    <w:rsid w:val="00BE4C61"/>
    <w:rsid w:val="00BE6C46"/>
    <w:rsid w:val="00BF5ECB"/>
    <w:rsid w:val="00C14792"/>
    <w:rsid w:val="00C21068"/>
    <w:rsid w:val="00C5286B"/>
    <w:rsid w:val="00C616E8"/>
    <w:rsid w:val="00C7206E"/>
    <w:rsid w:val="00C90F6C"/>
    <w:rsid w:val="00C911C6"/>
    <w:rsid w:val="00D122C5"/>
    <w:rsid w:val="00D30B5C"/>
    <w:rsid w:val="00D31C2A"/>
    <w:rsid w:val="00D34E55"/>
    <w:rsid w:val="00D362B7"/>
    <w:rsid w:val="00D432D1"/>
    <w:rsid w:val="00D4752C"/>
    <w:rsid w:val="00D833DC"/>
    <w:rsid w:val="00DA23A4"/>
    <w:rsid w:val="00DA781F"/>
    <w:rsid w:val="00DF7FB2"/>
    <w:rsid w:val="00E41564"/>
    <w:rsid w:val="00E44A5E"/>
    <w:rsid w:val="00E601DC"/>
    <w:rsid w:val="00EB6033"/>
    <w:rsid w:val="00EF0EBE"/>
    <w:rsid w:val="00F10A94"/>
    <w:rsid w:val="00F13CB0"/>
    <w:rsid w:val="00F24EF9"/>
    <w:rsid w:val="00F40109"/>
    <w:rsid w:val="00F655C1"/>
    <w:rsid w:val="00F77C03"/>
    <w:rsid w:val="00FA585C"/>
    <w:rsid w:val="00FB4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AB163"/>
  <w15:docId w15:val="{E869A6B4-DA2E-4128-ACA5-3C78A3F7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581"/>
  </w:style>
  <w:style w:type="paragraph" w:styleId="Footer">
    <w:name w:val="footer"/>
    <w:basedOn w:val="Normal"/>
    <w:link w:val="FooterChar"/>
    <w:uiPriority w:val="99"/>
    <w:unhideWhenUsed/>
    <w:rsid w:val="00322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581"/>
  </w:style>
  <w:style w:type="paragraph" w:styleId="FootnoteText">
    <w:name w:val="footnote text"/>
    <w:basedOn w:val="Normal"/>
    <w:link w:val="FootnoteTextChar"/>
    <w:uiPriority w:val="99"/>
    <w:semiHidden/>
    <w:unhideWhenUsed/>
    <w:rsid w:val="001634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34C5"/>
    <w:rPr>
      <w:sz w:val="20"/>
      <w:szCs w:val="20"/>
    </w:rPr>
  </w:style>
  <w:style w:type="character" w:styleId="FootnoteReference">
    <w:name w:val="footnote reference"/>
    <w:basedOn w:val="DefaultParagraphFont"/>
    <w:uiPriority w:val="99"/>
    <w:semiHidden/>
    <w:unhideWhenUsed/>
    <w:rsid w:val="001634C5"/>
    <w:rPr>
      <w:vertAlign w:val="superscript"/>
    </w:rPr>
  </w:style>
  <w:style w:type="paragraph" w:styleId="ListParagraph">
    <w:name w:val="List Paragraph"/>
    <w:basedOn w:val="Normal"/>
    <w:uiPriority w:val="34"/>
    <w:qFormat/>
    <w:rsid w:val="00F655C1"/>
    <w:pPr>
      <w:ind w:left="720"/>
      <w:contextualSpacing/>
    </w:pPr>
  </w:style>
  <w:style w:type="character" w:styleId="Hyperlink">
    <w:name w:val="Hyperlink"/>
    <w:basedOn w:val="DefaultParagraphFont"/>
    <w:uiPriority w:val="99"/>
    <w:unhideWhenUsed/>
    <w:rsid w:val="00E41564"/>
    <w:rPr>
      <w:color w:val="0000FF" w:themeColor="hyperlink"/>
      <w:u w:val="single"/>
    </w:rPr>
  </w:style>
  <w:style w:type="character" w:styleId="FollowedHyperlink">
    <w:name w:val="FollowedHyperlink"/>
    <w:basedOn w:val="DefaultParagraphFont"/>
    <w:uiPriority w:val="99"/>
    <w:semiHidden/>
    <w:unhideWhenUsed/>
    <w:rsid w:val="00153B75"/>
    <w:rPr>
      <w:color w:val="800080" w:themeColor="followedHyperlink"/>
      <w:u w:val="single"/>
    </w:rPr>
  </w:style>
  <w:style w:type="paragraph" w:styleId="BalloonText">
    <w:name w:val="Balloon Text"/>
    <w:basedOn w:val="Normal"/>
    <w:link w:val="BalloonTextChar"/>
    <w:uiPriority w:val="99"/>
    <w:semiHidden/>
    <w:unhideWhenUsed/>
    <w:rsid w:val="00013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C77"/>
    <w:rPr>
      <w:rFonts w:ascii="Segoe UI" w:hAnsi="Segoe UI" w:cs="Segoe UI"/>
      <w:sz w:val="18"/>
      <w:szCs w:val="18"/>
    </w:rPr>
  </w:style>
  <w:style w:type="character" w:styleId="CommentReference">
    <w:name w:val="annotation reference"/>
    <w:basedOn w:val="DefaultParagraphFont"/>
    <w:uiPriority w:val="99"/>
    <w:semiHidden/>
    <w:unhideWhenUsed/>
    <w:rsid w:val="00C21068"/>
    <w:rPr>
      <w:sz w:val="16"/>
      <w:szCs w:val="16"/>
    </w:rPr>
  </w:style>
  <w:style w:type="paragraph" w:styleId="CommentText">
    <w:name w:val="annotation text"/>
    <w:basedOn w:val="Normal"/>
    <w:link w:val="CommentTextChar"/>
    <w:uiPriority w:val="99"/>
    <w:unhideWhenUsed/>
    <w:rsid w:val="00C21068"/>
    <w:pPr>
      <w:spacing w:line="240" w:lineRule="auto"/>
    </w:pPr>
    <w:rPr>
      <w:sz w:val="20"/>
      <w:szCs w:val="20"/>
    </w:rPr>
  </w:style>
  <w:style w:type="character" w:customStyle="1" w:styleId="CommentTextChar">
    <w:name w:val="Comment Text Char"/>
    <w:basedOn w:val="DefaultParagraphFont"/>
    <w:link w:val="CommentText"/>
    <w:uiPriority w:val="99"/>
    <w:rsid w:val="00C21068"/>
    <w:rPr>
      <w:sz w:val="20"/>
      <w:szCs w:val="20"/>
    </w:rPr>
  </w:style>
  <w:style w:type="paragraph" w:styleId="CommentSubject">
    <w:name w:val="annotation subject"/>
    <w:basedOn w:val="CommentText"/>
    <w:next w:val="CommentText"/>
    <w:link w:val="CommentSubjectChar"/>
    <w:uiPriority w:val="99"/>
    <w:semiHidden/>
    <w:unhideWhenUsed/>
    <w:rsid w:val="00C21068"/>
    <w:rPr>
      <w:b/>
      <w:bCs/>
    </w:rPr>
  </w:style>
  <w:style w:type="character" w:customStyle="1" w:styleId="CommentSubjectChar">
    <w:name w:val="Comment Subject Char"/>
    <w:basedOn w:val="CommentTextChar"/>
    <w:link w:val="CommentSubject"/>
    <w:uiPriority w:val="99"/>
    <w:semiHidden/>
    <w:rsid w:val="00C210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72495">
      <w:bodyDiv w:val="1"/>
      <w:marLeft w:val="0"/>
      <w:marRight w:val="0"/>
      <w:marTop w:val="0"/>
      <w:marBottom w:val="0"/>
      <w:divBdr>
        <w:top w:val="none" w:sz="0" w:space="0" w:color="auto"/>
        <w:left w:val="none" w:sz="0" w:space="0" w:color="auto"/>
        <w:bottom w:val="none" w:sz="0" w:space="0" w:color="auto"/>
        <w:right w:val="none" w:sz="0" w:space="0" w:color="auto"/>
      </w:divBdr>
    </w:div>
    <w:div w:id="1857498008">
      <w:bodyDiv w:val="1"/>
      <w:marLeft w:val="0"/>
      <w:marRight w:val="0"/>
      <w:marTop w:val="0"/>
      <w:marBottom w:val="0"/>
      <w:divBdr>
        <w:top w:val="none" w:sz="0" w:space="0" w:color="auto"/>
        <w:left w:val="none" w:sz="0" w:space="0" w:color="auto"/>
        <w:bottom w:val="none" w:sz="0" w:space="0" w:color="auto"/>
        <w:right w:val="none" w:sz="0" w:space="0" w:color="auto"/>
      </w:divBdr>
    </w:div>
    <w:div w:id="2128037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gov.uk/government/uploads/system/uploads/attachment_data/file/539960/2015-16_WGA_CPID_List.xls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ov.uk/government/organisa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charity-reporting-and-accounting-the-essentials-november-2016-cc15d" TargetMode="External"/><Relationship Id="rId20" Type="http://schemas.openxmlformats.org/officeDocument/2006/relationships/hyperlink" Target="http://www.charitiessorp.org/media/642756/frs102-bulletin-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gov.uk/government/publications/charities-and-fundraising-cc20"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lobbying.ie/help-resources/information-for-public-bodies/list-of-public-service-bodi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48EF2-6CF9-4AB4-8816-4BB4EC55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3418</Words>
  <Characters>19484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Charities SORP (FRS 102)) Update Bulletin 1</vt:lpstr>
    </vt:vector>
  </TitlesOfParts>
  <Company/>
  <LinksUpToDate>false</LinksUpToDate>
  <CharactersWithSpaces>22857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Charities SORP (FRS 102)) Update Bulletin 1</dc:title>
  <dc:creator>Charity Commission and OSCR</dc:creator>
  <cp:lastModifiedBy>Joanne Francis</cp:lastModifiedBy>
  <cp:revision>2</cp:revision>
  <cp:lastPrinted>2017-03-07T13:16:00Z</cp:lastPrinted>
  <dcterms:created xsi:type="dcterms:W3CDTF">2019-11-20T10:37:00Z</dcterms:created>
  <dcterms:modified xsi:type="dcterms:W3CDTF">2019-11-20T10:37:00Z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2016-02-01T00:00:00Z</vt:filetime>
  </property>
  <property fmtid="{D5CDD505-2E9C-101B-9397-08002B2CF9AE}" pid="3" name="LastSaved">
    <vt:filetime>2017-01-09T00:00:00Z</vt:filetime>
  </property>
</Properties>
</file>